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7655" w14:textId="1285BEBE" w:rsidR="001803DC" w:rsidRPr="00760121" w:rsidRDefault="001803DC" w:rsidP="001803DC">
      <w:pPr>
        <w:rPr>
          <w:b/>
          <w:sz w:val="21"/>
          <w:szCs w:val="36"/>
        </w:rPr>
      </w:pPr>
    </w:p>
    <w:p w14:paraId="6FB86415" w14:textId="43BEF214" w:rsidR="00DB0842" w:rsidRPr="002A0788" w:rsidRDefault="000030B5" w:rsidP="00BF612D">
      <w:pPr>
        <w:ind w:right="19"/>
        <w:jc w:val="center"/>
        <w:rPr>
          <w:rFonts w:eastAsiaTheme="minorHAnsi"/>
          <w:b/>
          <w:color w:val="1C71B8"/>
          <w:sz w:val="36"/>
          <w:szCs w:val="36"/>
          <w:lang w:eastAsia="en-US"/>
        </w:rPr>
      </w:pPr>
      <w:r>
        <w:rPr>
          <w:rFonts w:eastAsiaTheme="minorHAnsi"/>
          <w:b/>
          <w:color w:val="1C71B8"/>
          <w:sz w:val="36"/>
          <w:szCs w:val="36"/>
          <w:lang w:eastAsia="en-US"/>
        </w:rPr>
        <w:t>Greencities y AMETIC, la patronal de la industria digital española, renuevan su compromiso con el desarrollo de territorios inteligentes</w:t>
      </w:r>
    </w:p>
    <w:p w14:paraId="5F4508B9" w14:textId="38CC2860" w:rsidR="00393F78" w:rsidRPr="00B32FCC" w:rsidRDefault="00393F78" w:rsidP="00B32FCC">
      <w:pPr>
        <w:jc w:val="both"/>
        <w:rPr>
          <w:b/>
          <w:color w:val="0070C0"/>
          <w:sz w:val="24"/>
          <w:szCs w:val="24"/>
        </w:rPr>
      </w:pPr>
    </w:p>
    <w:p w14:paraId="40DDD668" w14:textId="6CE664CC" w:rsidR="000030B5" w:rsidRDefault="000030B5" w:rsidP="006E0F7B">
      <w:pPr>
        <w:pStyle w:val="Prrafodelista"/>
        <w:numPr>
          <w:ilvl w:val="0"/>
          <w:numId w:val="5"/>
        </w:numPr>
        <w:ind w:left="426" w:hanging="284"/>
        <w:jc w:val="both"/>
        <w:rPr>
          <w:b/>
          <w:color w:val="0070C0"/>
          <w:sz w:val="24"/>
          <w:szCs w:val="24"/>
        </w:rPr>
      </w:pPr>
      <w:r w:rsidRPr="000030B5">
        <w:rPr>
          <w:b/>
          <w:color w:val="0070C0"/>
          <w:sz w:val="24"/>
          <w:szCs w:val="24"/>
        </w:rPr>
        <w:t>FYCMA (Palacio de Ferias y Congresos de Málaga) y AMETIC se alían para coorganizar la próxima edición de Greencities,</w:t>
      </w:r>
      <w:r w:rsidR="00FD5EF6">
        <w:rPr>
          <w:b/>
          <w:color w:val="0070C0"/>
          <w:sz w:val="24"/>
          <w:szCs w:val="24"/>
        </w:rPr>
        <w:t xml:space="preserve"> </w:t>
      </w:r>
      <w:r w:rsidRPr="000030B5">
        <w:rPr>
          <w:b/>
          <w:color w:val="0070C0"/>
          <w:sz w:val="24"/>
          <w:szCs w:val="24"/>
        </w:rPr>
        <w:t>Inteligencia y Sostenibilidad Urbana, que tendrá lugar de manera paralela a S-MOVING, Movilidad Inteligente y Sostenible, los días 29 y 30 de septiembre en el recinto malagueño</w:t>
      </w:r>
      <w:r>
        <w:rPr>
          <w:b/>
          <w:color w:val="0070C0"/>
          <w:sz w:val="24"/>
          <w:szCs w:val="24"/>
        </w:rPr>
        <w:t>.</w:t>
      </w:r>
    </w:p>
    <w:p w14:paraId="4C013AD2" w14:textId="67C0F4FD" w:rsidR="00760121" w:rsidRDefault="000030B5" w:rsidP="006E0F7B">
      <w:pPr>
        <w:pStyle w:val="Prrafodelista"/>
        <w:numPr>
          <w:ilvl w:val="0"/>
          <w:numId w:val="5"/>
        </w:numPr>
        <w:ind w:left="426" w:hanging="284"/>
        <w:jc w:val="both"/>
        <w:rPr>
          <w:b/>
          <w:color w:val="0070C0"/>
          <w:sz w:val="24"/>
          <w:szCs w:val="24"/>
        </w:rPr>
      </w:pPr>
      <w:r w:rsidRPr="000030B5">
        <w:rPr>
          <w:b/>
          <w:color w:val="0070C0"/>
          <w:sz w:val="24"/>
          <w:szCs w:val="24"/>
        </w:rPr>
        <w:t>La entidad se ha convertido en un colaborador estratégico y en una pieza clave para el desarrollo del evento, tanto por su contribución al programa de contenidos como por la atracción del tejido empresarial especializado</w:t>
      </w:r>
      <w:r>
        <w:rPr>
          <w:b/>
          <w:color w:val="0070C0"/>
          <w:sz w:val="24"/>
          <w:szCs w:val="24"/>
        </w:rPr>
        <w:t>.</w:t>
      </w:r>
    </w:p>
    <w:p w14:paraId="624FBED6" w14:textId="77777777" w:rsidR="00257DAB" w:rsidRDefault="00257DAB" w:rsidP="00D048AC">
      <w:pPr>
        <w:jc w:val="both"/>
        <w:rPr>
          <w:b/>
        </w:rPr>
      </w:pPr>
    </w:p>
    <w:p w14:paraId="137BD58C" w14:textId="123EA469" w:rsidR="000030B5" w:rsidRPr="000030B5" w:rsidRDefault="009C4067" w:rsidP="000030B5">
      <w:pPr>
        <w:jc w:val="both"/>
        <w:rPr>
          <w:sz w:val="20"/>
          <w:szCs w:val="20"/>
        </w:rPr>
      </w:pPr>
      <w:r w:rsidRPr="000030B5">
        <w:rPr>
          <w:b/>
          <w:sz w:val="20"/>
          <w:szCs w:val="20"/>
        </w:rPr>
        <w:t>M</w:t>
      </w:r>
      <w:r w:rsidR="00CA5A17">
        <w:rPr>
          <w:b/>
          <w:sz w:val="20"/>
          <w:szCs w:val="20"/>
        </w:rPr>
        <w:t>álaga</w:t>
      </w:r>
      <w:r w:rsidR="001803DC" w:rsidRPr="000030B5">
        <w:rPr>
          <w:b/>
          <w:sz w:val="20"/>
          <w:szCs w:val="20"/>
        </w:rPr>
        <w:t xml:space="preserve">, </w:t>
      </w:r>
      <w:r w:rsidR="000030B5">
        <w:rPr>
          <w:b/>
          <w:sz w:val="20"/>
          <w:szCs w:val="20"/>
        </w:rPr>
        <w:t>07</w:t>
      </w:r>
      <w:r w:rsidR="001803DC" w:rsidRPr="000030B5">
        <w:rPr>
          <w:b/>
          <w:sz w:val="20"/>
          <w:szCs w:val="20"/>
        </w:rPr>
        <w:t xml:space="preserve"> de </w:t>
      </w:r>
      <w:r w:rsidR="000030B5">
        <w:rPr>
          <w:b/>
          <w:color w:val="000000" w:themeColor="text1"/>
          <w:sz w:val="20"/>
          <w:szCs w:val="20"/>
        </w:rPr>
        <w:t>septiembre</w:t>
      </w:r>
      <w:r w:rsidR="001803DC" w:rsidRPr="000030B5">
        <w:rPr>
          <w:b/>
          <w:color w:val="000000" w:themeColor="text1"/>
          <w:sz w:val="20"/>
          <w:szCs w:val="20"/>
        </w:rPr>
        <w:t xml:space="preserve"> de </w:t>
      </w:r>
      <w:r w:rsidR="001803DC" w:rsidRPr="000030B5">
        <w:rPr>
          <w:b/>
          <w:sz w:val="20"/>
          <w:szCs w:val="20"/>
        </w:rPr>
        <w:t>20</w:t>
      </w:r>
      <w:r w:rsidR="0059269E" w:rsidRPr="000030B5">
        <w:rPr>
          <w:b/>
          <w:sz w:val="20"/>
          <w:szCs w:val="20"/>
        </w:rPr>
        <w:t>2</w:t>
      </w:r>
      <w:r w:rsidR="009B10DE" w:rsidRPr="000030B5">
        <w:rPr>
          <w:b/>
          <w:sz w:val="20"/>
          <w:szCs w:val="20"/>
        </w:rPr>
        <w:t>1</w:t>
      </w:r>
      <w:r w:rsidR="001803DC" w:rsidRPr="000030B5">
        <w:rPr>
          <w:sz w:val="20"/>
          <w:szCs w:val="20"/>
        </w:rPr>
        <w:t>.</w:t>
      </w:r>
      <w:r w:rsidR="00D33A65" w:rsidRPr="000030B5">
        <w:rPr>
          <w:sz w:val="20"/>
          <w:szCs w:val="20"/>
        </w:rPr>
        <w:t xml:space="preserve"> </w:t>
      </w:r>
      <w:r w:rsidR="000030B5" w:rsidRPr="000030B5">
        <w:rPr>
          <w:sz w:val="20"/>
          <w:szCs w:val="20"/>
        </w:rPr>
        <w:t xml:space="preserve">AMETIC, la patronal de la industria digital española, ha renovado el acuerdo de colaboración con Greencities, Inteligencia y Sostenibilidad Urbana, a través de su papel como coorganizador del evento junto a FYCMA (Palacio de Ferias y Congresos de Málaga). El encuentro se celebrará conjuntamente a S-MOVING, Movilidad Inteligente y Sostenible, los próximos días 29 y 30 de septiembre en el recinto malagueño. Se trata de una alianza estratégica para impulsar los sectores de la innovación y la tecnología y consolidar la cita de referencia de las ciudades inteligentes en el Sur de Europa.   </w:t>
      </w:r>
    </w:p>
    <w:p w14:paraId="72338700" w14:textId="77777777" w:rsidR="000030B5" w:rsidRPr="000030B5" w:rsidRDefault="000030B5" w:rsidP="000030B5">
      <w:pPr>
        <w:jc w:val="both"/>
        <w:rPr>
          <w:sz w:val="20"/>
          <w:szCs w:val="20"/>
        </w:rPr>
      </w:pPr>
    </w:p>
    <w:p w14:paraId="243C76E0" w14:textId="448A512D" w:rsidR="000030B5" w:rsidRPr="000030B5" w:rsidRDefault="000030B5" w:rsidP="000030B5">
      <w:pPr>
        <w:jc w:val="both"/>
        <w:rPr>
          <w:sz w:val="20"/>
          <w:szCs w:val="20"/>
        </w:rPr>
      </w:pPr>
      <w:r w:rsidRPr="000030B5">
        <w:rPr>
          <w:sz w:val="20"/>
          <w:szCs w:val="20"/>
        </w:rPr>
        <w:t>Como portavoz del sector tecnológico y digital en España, AMETIC contribuye al desarrollo del programa de contenidos del evento, identificando y abordando temas de gran relevancia para la industria del país. En 2021, la entidad profundizará en cuestiones como la energía inteligente, los retos y oportunidades de los destinos turísticos inteligentes, la tecnología y la conectividad en territorios rurales, la movilidad eléctrica y sostenible o la gobernanza en el ámbito de la movilidad. Además, atraerá la participación del tejido empresarial especializado a través de sus empresas asociadas, como son pequeñas, medianas y grandes empresas del sector tecnológico en búsqueda de nuevas oportunidades de negocio.</w:t>
      </w:r>
    </w:p>
    <w:p w14:paraId="62A30DA5" w14:textId="77777777" w:rsidR="000030B5" w:rsidRDefault="000030B5" w:rsidP="000030B5">
      <w:pPr>
        <w:shd w:val="clear" w:color="auto" w:fill="FFFFFF"/>
        <w:spacing w:before="100" w:beforeAutospacing="1" w:after="100" w:afterAutospacing="1"/>
        <w:jc w:val="both"/>
        <w:rPr>
          <w:b/>
          <w:bCs/>
          <w:sz w:val="20"/>
          <w:szCs w:val="20"/>
          <w:shd w:val="clear" w:color="auto" w:fill="FFFFFF"/>
        </w:rPr>
      </w:pPr>
      <w:r w:rsidRPr="00E902E1">
        <w:rPr>
          <w:b/>
          <w:bCs/>
          <w:sz w:val="20"/>
          <w:szCs w:val="20"/>
          <w:shd w:val="clear" w:color="auto" w:fill="FFFFFF"/>
        </w:rPr>
        <w:t>Greencities y S-MOVING 2021</w:t>
      </w:r>
    </w:p>
    <w:p w14:paraId="244F6103" w14:textId="77777777" w:rsidR="000030B5" w:rsidRDefault="000030B5" w:rsidP="000030B5">
      <w:pPr>
        <w:shd w:val="clear" w:color="auto" w:fill="FFFFFF"/>
        <w:spacing w:before="100" w:beforeAutospacing="1" w:after="100" w:afterAutospacing="1"/>
        <w:jc w:val="both"/>
        <w:rPr>
          <w:b/>
          <w:bCs/>
          <w:sz w:val="20"/>
          <w:szCs w:val="20"/>
          <w:shd w:val="clear" w:color="auto" w:fill="FFFFFF"/>
        </w:rPr>
      </w:pPr>
      <w:r w:rsidRPr="00252611">
        <w:rPr>
          <w:sz w:val="20"/>
          <w:szCs w:val="20"/>
        </w:rPr>
        <w:t xml:space="preserve">Greencities es el punto de encuentro nacional de referencia </w:t>
      </w:r>
      <w:r>
        <w:rPr>
          <w:sz w:val="20"/>
          <w:szCs w:val="20"/>
        </w:rPr>
        <w:t>para las</w:t>
      </w:r>
      <w:r w:rsidRPr="00252611">
        <w:rPr>
          <w:sz w:val="20"/>
          <w:szCs w:val="20"/>
        </w:rPr>
        <w:t xml:space="preserve"> ciudades, profesionales y empresas implicadas en el desarrollo de territorios sostenibles, eficientes y conectados, ofreciendo una visión global de los retos y oportunidades de la gestión urbana. Se celebra conjuntamente con S-MOVING con el objetivo de reforzar el papel de la movilidad como eje fundamental en la estrategia hacia una administración más inteligente, unido a otros campos de actuación prioritarios como gobernanza, economía y participación ciudadana; innovación social, financiación y desarrollo económico local, o el impacto de los destinos turísticos inteligentes. </w:t>
      </w:r>
    </w:p>
    <w:p w14:paraId="1449836A" w14:textId="77777777" w:rsidR="000030B5" w:rsidRDefault="000030B5" w:rsidP="000030B5">
      <w:pPr>
        <w:shd w:val="clear" w:color="auto" w:fill="FFFFFF"/>
        <w:spacing w:before="100" w:beforeAutospacing="1" w:after="100" w:afterAutospacing="1"/>
        <w:jc w:val="both"/>
        <w:rPr>
          <w:sz w:val="20"/>
          <w:szCs w:val="20"/>
        </w:rPr>
      </w:pPr>
      <w:r>
        <w:rPr>
          <w:sz w:val="20"/>
          <w:szCs w:val="20"/>
        </w:rPr>
        <w:t xml:space="preserve">Los eventos ofrecerán una amplia propuesta de servicios punteros y herramientas para un modelo de gestión más avanzado y para la mejora de los servicios públicos con la participación de empresas y entidades especializadas. Junto a ello, dispondrán nuevamente de una herramienta para facilitar el </w:t>
      </w:r>
      <w:r>
        <w:rPr>
          <w:i/>
          <w:iCs/>
          <w:sz w:val="20"/>
          <w:szCs w:val="20"/>
        </w:rPr>
        <w:t>networking</w:t>
      </w:r>
      <w:r>
        <w:rPr>
          <w:sz w:val="20"/>
          <w:szCs w:val="20"/>
        </w:rPr>
        <w:t xml:space="preserve"> entre potenciales socios tecnológicos y técnicos de la administración pública y contarán con un especializado programa de contenidos. Así, expertos internacionales abordarán temas como la transición verde, digital y la descarbonización; la gobernanza en el ámbito de la movilidad; los usos del 5G y 6G para mejorar la calidad de vida del ciudadano o la transformación de la movilidad urbana a través de la innovación, entre otros. </w:t>
      </w:r>
    </w:p>
    <w:p w14:paraId="63432C62" w14:textId="77777777" w:rsidR="000030B5" w:rsidRDefault="000030B5" w:rsidP="000030B5">
      <w:pPr>
        <w:jc w:val="both"/>
        <w:rPr>
          <w:sz w:val="20"/>
          <w:szCs w:val="20"/>
        </w:rPr>
      </w:pPr>
      <w:r w:rsidRPr="002D7451">
        <w:rPr>
          <w:sz w:val="20"/>
          <w:szCs w:val="20"/>
        </w:rPr>
        <w:t>Greencities está coorganizado por FYCMA (Palacio de Ferias y Congresos de Málaga) y AMETIC. S-MOVING, por su parte, está organizado conjuntamente por el recinto malagueño y la Agencia de Innovación y Desarrollo de Andalucía IDEA -dependiente de la Consejería de Transformación Económica, Industria, Conocimiento y Universidades de la Junta de Andalucía-.</w:t>
      </w:r>
      <w:r>
        <w:rPr>
          <w:sz w:val="20"/>
          <w:szCs w:val="20"/>
        </w:rPr>
        <w:t xml:space="preserve"> Actúan como Premium Partners la Consejería de Agricultura, Ganadería, Pesca y Desarrollo Sostenible de la </w:t>
      </w:r>
      <w:r>
        <w:rPr>
          <w:sz w:val="20"/>
          <w:szCs w:val="20"/>
        </w:rPr>
        <w:lastRenderedPageBreak/>
        <w:t xml:space="preserve">Junta de Andalucía y Telefónica Empresas. Además, son Golden Partners la Consejería de Fomento, Infraestructuras y Ordenación del Territorio de la Junta de Andalucía; EIT Urban Mobility; Endesa X; </w:t>
      </w:r>
      <w:r w:rsidRPr="00CD66E1">
        <w:rPr>
          <w:sz w:val="20"/>
          <w:szCs w:val="20"/>
        </w:rPr>
        <w:t>Extenda</w:t>
      </w:r>
      <w:r>
        <w:rPr>
          <w:sz w:val="20"/>
          <w:szCs w:val="20"/>
        </w:rPr>
        <w:t xml:space="preserve"> </w:t>
      </w:r>
      <w:r w:rsidRPr="00CD66E1">
        <w:rPr>
          <w:sz w:val="20"/>
          <w:szCs w:val="20"/>
        </w:rPr>
        <w:t>-</w:t>
      </w:r>
      <w:r>
        <w:rPr>
          <w:sz w:val="20"/>
          <w:szCs w:val="20"/>
        </w:rPr>
        <w:t xml:space="preserve"> </w:t>
      </w:r>
      <w:r w:rsidRPr="00CD66E1">
        <w:rPr>
          <w:sz w:val="20"/>
          <w:szCs w:val="20"/>
        </w:rPr>
        <w:t>Andalucía Exportación e Inversión Extranjera</w:t>
      </w:r>
      <w:r>
        <w:rPr>
          <w:sz w:val="20"/>
          <w:szCs w:val="20"/>
        </w:rPr>
        <w:t xml:space="preserve">, </w:t>
      </w:r>
      <w:r w:rsidRPr="002D472D">
        <w:rPr>
          <w:color w:val="000000" w:themeColor="text1"/>
          <w:sz w:val="20"/>
          <w:szCs w:val="20"/>
        </w:rPr>
        <w:t xml:space="preserve">entidad dependiente </w:t>
      </w:r>
      <w:r w:rsidRPr="00CD66E1">
        <w:rPr>
          <w:sz w:val="20"/>
          <w:szCs w:val="20"/>
        </w:rPr>
        <w:t>de la Consejería de la Presidencia, Administración Pública e Interior de la Junta de Andalucía</w:t>
      </w:r>
      <w:r>
        <w:rPr>
          <w:sz w:val="20"/>
          <w:szCs w:val="20"/>
        </w:rPr>
        <w:t>, y la Universidad de Málaga (UMA). Por su parte, el gobierno autonómico de Castilla-La Mancha, Parque Cementerio de Málaga y Sistem son Silver Partners. También participan como City Partners la Federación Andaluza de Municipios y Provincias, Red Innpulso, Red Española de Ciudades Inteligentes (RECI) y SmartCity Cluster.</w:t>
      </w:r>
    </w:p>
    <w:p w14:paraId="230A9241" w14:textId="77777777" w:rsidR="000030B5" w:rsidRPr="002D7451" w:rsidRDefault="000030B5" w:rsidP="000030B5">
      <w:pPr>
        <w:jc w:val="both"/>
        <w:rPr>
          <w:sz w:val="20"/>
          <w:szCs w:val="20"/>
        </w:rPr>
      </w:pPr>
    </w:p>
    <w:p w14:paraId="67999B9B" w14:textId="77777777" w:rsidR="000030B5" w:rsidRDefault="000030B5" w:rsidP="000030B5">
      <w:pPr>
        <w:jc w:val="both"/>
        <w:rPr>
          <w:sz w:val="20"/>
          <w:szCs w:val="20"/>
        </w:rPr>
      </w:pPr>
      <w:r w:rsidRPr="002D7451">
        <w:rPr>
          <w:sz w:val="20"/>
          <w:szCs w:val="20"/>
        </w:rPr>
        <w:t xml:space="preserve">Más </w:t>
      </w:r>
      <w:r w:rsidRPr="00C5669A">
        <w:rPr>
          <w:sz w:val="20"/>
          <w:szCs w:val="20"/>
        </w:rPr>
        <w:t xml:space="preserve">información en </w:t>
      </w:r>
      <w:hyperlink r:id="rId7" w:history="1">
        <w:r w:rsidRPr="00C5669A">
          <w:rPr>
            <w:color w:val="0000FF" w:themeColor="hyperlink"/>
            <w:sz w:val="20"/>
            <w:szCs w:val="20"/>
            <w:u w:val="single"/>
          </w:rPr>
          <w:t>www.greencitiesmalaga.com</w:t>
        </w:r>
      </w:hyperlink>
      <w:r w:rsidRPr="00C5669A">
        <w:rPr>
          <w:sz w:val="20"/>
          <w:szCs w:val="20"/>
        </w:rPr>
        <w:t xml:space="preserve">, </w:t>
      </w:r>
      <w:hyperlink r:id="rId8" w:history="1">
        <w:r w:rsidRPr="00C5669A">
          <w:rPr>
            <w:color w:val="0000FF" w:themeColor="hyperlink"/>
            <w:sz w:val="20"/>
            <w:szCs w:val="20"/>
            <w:u w:val="single"/>
          </w:rPr>
          <w:t>www.smovingforum.com</w:t>
        </w:r>
      </w:hyperlink>
      <w:r w:rsidRPr="00C5669A">
        <w:rPr>
          <w:color w:val="0000FF" w:themeColor="hyperlink"/>
          <w:sz w:val="20"/>
          <w:szCs w:val="20"/>
          <w:u w:val="single"/>
        </w:rPr>
        <w:t>,</w:t>
      </w:r>
      <w:r w:rsidRPr="00C5669A">
        <w:rPr>
          <w:sz w:val="20"/>
          <w:szCs w:val="20"/>
        </w:rPr>
        <w:t xml:space="preserve"> y en sus páginas de </w:t>
      </w:r>
      <w:hyperlink r:id="rId9" w:history="1">
        <w:r w:rsidRPr="00C5669A">
          <w:rPr>
            <w:rStyle w:val="Hipervnculo"/>
            <w:sz w:val="20"/>
            <w:szCs w:val="20"/>
          </w:rPr>
          <w:t>Facebook</w:t>
        </w:r>
      </w:hyperlink>
      <w:r w:rsidRPr="00C5669A">
        <w:rPr>
          <w:sz w:val="20"/>
          <w:szCs w:val="20"/>
        </w:rPr>
        <w:t xml:space="preserve"> y en los perfiles de </w:t>
      </w:r>
      <w:hyperlink r:id="rId10" w:history="1">
        <w:r w:rsidRPr="00C5669A">
          <w:rPr>
            <w:rStyle w:val="Hipervnculo"/>
            <w:sz w:val="20"/>
            <w:szCs w:val="20"/>
          </w:rPr>
          <w:t>Twitter</w:t>
        </w:r>
      </w:hyperlink>
      <w:r w:rsidRPr="00C5669A">
        <w:rPr>
          <w:sz w:val="20"/>
          <w:szCs w:val="20"/>
        </w:rPr>
        <w:t xml:space="preserve"> y </w:t>
      </w:r>
      <w:hyperlink r:id="rId11" w:history="1">
        <w:r w:rsidRPr="00C5669A">
          <w:rPr>
            <w:rStyle w:val="Hipervnculo"/>
            <w:sz w:val="20"/>
            <w:szCs w:val="20"/>
          </w:rPr>
          <w:t>LinkedIn</w:t>
        </w:r>
      </w:hyperlink>
      <w:r w:rsidRPr="00C5669A">
        <w:rPr>
          <w:sz w:val="20"/>
          <w:szCs w:val="20"/>
        </w:rPr>
        <w:t>.</w:t>
      </w:r>
      <w:r w:rsidRPr="002D7451">
        <w:rPr>
          <w:sz w:val="20"/>
          <w:szCs w:val="20"/>
        </w:rPr>
        <w:t xml:space="preserve">  </w:t>
      </w:r>
    </w:p>
    <w:p w14:paraId="0AF37AE7" w14:textId="77777777" w:rsidR="000030B5" w:rsidRDefault="000030B5" w:rsidP="000030B5">
      <w:pPr>
        <w:jc w:val="both"/>
        <w:rPr>
          <w:sz w:val="20"/>
          <w:szCs w:val="20"/>
        </w:rPr>
      </w:pPr>
    </w:p>
    <w:p w14:paraId="0EBB9E32" w14:textId="4EB0A2CE" w:rsidR="00C5669A" w:rsidRDefault="00C5669A" w:rsidP="00B51010">
      <w:pPr>
        <w:rPr>
          <w:color w:val="00B0F0"/>
        </w:rPr>
      </w:pPr>
    </w:p>
    <w:p w14:paraId="16D95E8F" w14:textId="77777777" w:rsidR="00D90F97" w:rsidRDefault="00D90F97">
      <w:pPr>
        <w:jc w:val="both"/>
      </w:pPr>
    </w:p>
    <w:p w14:paraId="4C650446" w14:textId="77777777" w:rsidR="0048451C" w:rsidRPr="004C5FD8" w:rsidRDefault="00065706">
      <w:pPr>
        <w:jc w:val="both"/>
        <w:rPr>
          <w:highlight w:val="white"/>
        </w:rPr>
      </w:pPr>
      <w:r>
        <w:rPr>
          <w:noProof/>
        </w:rPr>
        <mc:AlternateContent>
          <mc:Choice Requires="wps">
            <w:drawing>
              <wp:inline distT="0" distB="0" distL="0" distR="0" wp14:anchorId="0976B9B5" wp14:editId="2ABF1A37">
                <wp:extent cx="5593080" cy="2209165"/>
                <wp:effectExtent l="0" t="0" r="0" b="635"/>
                <wp:docPr id="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3080" cy="2209165"/>
                        </a:xfrm>
                        <a:prstGeom prst="rect">
                          <a:avLst/>
                        </a:prstGeom>
                        <a:solidFill>
                          <a:schemeClr val="lt2">
                            <a:lumMod val="100000"/>
                            <a:lumOff val="0"/>
                          </a:schemeClr>
                        </a:solidFill>
                        <a:ln w="9525">
                          <a:solidFill>
                            <a:srgbClr val="3C3C3C"/>
                          </a:solidFill>
                          <a:miter lim="800000"/>
                          <a:headEnd type="none" w="sm" len="sm"/>
                          <a:tailEnd type="none" w="sm" len="sm"/>
                        </a:ln>
                      </wps:spPr>
                      <wps:txbx>
                        <w:txbxContent>
                          <w:p w14:paraId="0BDF43C1" w14:textId="77777777" w:rsidR="002B311A" w:rsidRDefault="002B311A" w:rsidP="002B311A">
                            <w:pPr>
                              <w:jc w:val="both"/>
                              <w:textDirection w:val="btLr"/>
                            </w:pPr>
                            <w:r>
                              <w:rPr>
                                <w:b/>
                                <w:color w:val="3C3C3C"/>
                                <w:sz w:val="18"/>
                              </w:rPr>
                              <w:t>Sobre AMETIC</w:t>
                            </w:r>
                          </w:p>
                          <w:p w14:paraId="0F36E788" w14:textId="77777777" w:rsidR="002B311A" w:rsidRDefault="002B311A" w:rsidP="002B311A">
                            <w:pPr>
                              <w:jc w:val="both"/>
                              <w:textDirection w:val="btLr"/>
                            </w:pPr>
                          </w:p>
                          <w:p w14:paraId="485D0A86" w14:textId="77777777" w:rsidR="002B311A" w:rsidRDefault="002B311A" w:rsidP="002B311A">
                            <w:pPr>
                              <w:jc w:val="both"/>
                              <w:textDirection w:val="btLr"/>
                            </w:pPr>
                            <w:r>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34698069" w14:textId="77777777" w:rsidR="002B311A" w:rsidRDefault="002B311A" w:rsidP="002B311A">
                            <w:pPr>
                              <w:jc w:val="both"/>
                              <w:textDirection w:val="btLr"/>
                            </w:pPr>
                            <w:r>
                              <w:rPr>
                                <w:color w:val="3C3C3C"/>
                                <w:sz w:val="18"/>
                              </w:rPr>
                              <w:br/>
                              <w:t xml:space="preserve">Más información: </w:t>
                            </w:r>
                            <w:r>
                              <w:rPr>
                                <w:color w:val="3C3C3C"/>
                                <w:sz w:val="18"/>
                                <w:u w:val="single"/>
                              </w:rPr>
                              <w:t>www.ametic.es</w:t>
                            </w:r>
                            <w:r>
                              <w:rPr>
                                <w:color w:val="3C3C3C"/>
                                <w:sz w:val="18"/>
                              </w:rPr>
                              <w:t xml:space="preserve"> </w:t>
                            </w:r>
                          </w:p>
                          <w:p w14:paraId="4E700BCB" w14:textId="77777777" w:rsidR="002B311A" w:rsidRDefault="002B311A" w:rsidP="002B311A">
                            <w:pPr>
                              <w:textDirection w:val="btLr"/>
                            </w:pPr>
                          </w:p>
                        </w:txbxContent>
                      </wps:txbx>
                      <wps:bodyPr rot="0" vert="horz" wrap="square" lIns="91425" tIns="45698" rIns="91425" bIns="45698" anchor="t" anchorCtr="0" upright="1">
                        <a:noAutofit/>
                      </wps:bodyPr>
                    </wps:wsp>
                  </a:graphicData>
                </a:graphic>
              </wp:inline>
            </w:drawing>
          </mc:Choice>
          <mc:Fallback>
            <w:pict>
              <v:rect w14:anchorId="0976B9B5" id="Rectángulo 2" o:spid="_x0000_s1026" style="width:440.4pt;height:17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" fillcolor="#eeece1 [3203]" strokecolor="#3c3c3c">
                <v:stroke startarrowwidth="narrow" startarrowlength="short" endarrowwidth="narrow" endarrowlength="short"/>
                <v:path arrowok="t"/>
                <v:textbox inset="2.53958mm,1.2694mm,2.53958mm,1.2694mm">
                  <w:txbxContent>
                    <w:p w14:paraId="0BDF43C1" w14:textId="77777777" w:rsidR="002B311A" w:rsidRDefault="002B311A" w:rsidP="002B311A">
                      <w:pPr>
                        <w:jc w:val="both"/>
                        <w:textDirection w:val="btLr"/>
                      </w:pPr>
                      <w:r>
                        <w:rPr>
                          <w:b/>
                          <w:color w:val="3C3C3C"/>
                          <w:sz w:val="18"/>
                        </w:rPr>
                        <w:t>Sobre AMETIC</w:t>
                      </w:r>
                    </w:p>
                    <w:p w14:paraId="0F36E788" w14:textId="77777777" w:rsidR="002B311A" w:rsidRDefault="002B311A" w:rsidP="002B311A">
                      <w:pPr>
                        <w:jc w:val="both"/>
                        <w:textDirection w:val="btLr"/>
                      </w:pPr>
                    </w:p>
                    <w:p w14:paraId="485D0A86" w14:textId="77777777" w:rsidR="002B311A" w:rsidRDefault="002B311A" w:rsidP="002B311A">
                      <w:pPr>
                        <w:jc w:val="both"/>
                        <w:textDirection w:val="btLr"/>
                      </w:pPr>
                      <w:r>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Pr>
                          <w:color w:val="3C3C3C"/>
                          <w:sz w:val="18"/>
                        </w:rPr>
                        <w:t>hipersector</w:t>
                      </w:r>
                      <w:proofErr w:type="spellEnd"/>
                      <w:r>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34698069" w14:textId="77777777" w:rsidR="002B311A" w:rsidRDefault="002B311A" w:rsidP="002B311A">
                      <w:pPr>
                        <w:jc w:val="both"/>
                        <w:textDirection w:val="btLr"/>
                      </w:pPr>
                      <w:r>
                        <w:rPr>
                          <w:color w:val="3C3C3C"/>
                          <w:sz w:val="18"/>
                        </w:rPr>
                        <w:br/>
                        <w:t xml:space="preserve">Más información: </w:t>
                      </w:r>
                      <w:r>
                        <w:rPr>
                          <w:color w:val="3C3C3C"/>
                          <w:sz w:val="18"/>
                          <w:u w:val="single"/>
                        </w:rPr>
                        <w:t>www.ametic.es</w:t>
                      </w:r>
                      <w:r>
                        <w:rPr>
                          <w:color w:val="3C3C3C"/>
                          <w:sz w:val="18"/>
                        </w:rPr>
                        <w:t xml:space="preserve"> </w:t>
                      </w:r>
                    </w:p>
                    <w:p w14:paraId="4E700BCB" w14:textId="77777777" w:rsidR="002B311A" w:rsidRDefault="002B311A" w:rsidP="002B311A">
                      <w:pPr>
                        <w:textDirection w:val="btLr"/>
                      </w:pPr>
                    </w:p>
                  </w:txbxContent>
                </v:textbox>
                <w10:anchorlock/>
              </v:rect>
            </w:pict>
          </mc:Fallback>
        </mc:AlternateContent>
      </w:r>
    </w:p>
    <w:p w14:paraId="77D94F81" w14:textId="77777777" w:rsidR="0048451C" w:rsidRPr="004C5FD8" w:rsidRDefault="0048451C">
      <w:pPr>
        <w:jc w:val="center"/>
        <w:rPr>
          <w:b/>
          <w:color w:val="3C3C3C"/>
          <w:sz w:val="20"/>
          <w:szCs w:val="20"/>
        </w:rPr>
      </w:pPr>
    </w:p>
    <w:p w14:paraId="66CC0D15" w14:textId="1AC6D5D5" w:rsidR="0048451C" w:rsidRPr="004C5FD8" w:rsidRDefault="00663011">
      <w:pPr>
        <w:jc w:val="center"/>
        <w:rPr>
          <w:color w:val="3C3C3C"/>
          <w:sz w:val="20"/>
          <w:szCs w:val="20"/>
        </w:rPr>
      </w:pPr>
      <w:r w:rsidRPr="004C5FD8">
        <w:rPr>
          <w:b/>
          <w:color w:val="3C3C3C"/>
          <w:sz w:val="20"/>
          <w:szCs w:val="20"/>
        </w:rPr>
        <w:t>Más información:</w:t>
      </w:r>
      <w:r w:rsidRPr="004C5FD8">
        <w:rPr>
          <w:color w:val="3C3C3C"/>
          <w:sz w:val="20"/>
          <w:szCs w:val="20"/>
        </w:rPr>
        <w:t xml:space="preserve"> Tel. 91 591 55 00</w:t>
      </w:r>
    </w:p>
    <w:p w14:paraId="3D1EDD55" w14:textId="31A729FF" w:rsidR="0048451C" w:rsidRPr="004C5FD8" w:rsidRDefault="00BE0A94">
      <w:pPr>
        <w:jc w:val="center"/>
        <w:rPr>
          <w:color w:val="3C3C3C"/>
          <w:sz w:val="20"/>
          <w:szCs w:val="20"/>
          <w:u w:val="single"/>
        </w:rPr>
      </w:pPr>
      <w:r>
        <w:rPr>
          <w:b/>
          <w:color w:val="3C3C3C"/>
          <w:sz w:val="20"/>
          <w:szCs w:val="20"/>
        </w:rPr>
        <w:t>Laura Lázaro</w:t>
      </w:r>
      <w:r w:rsidR="00663011" w:rsidRPr="004C5FD8">
        <w:rPr>
          <w:b/>
          <w:color w:val="3C3C3C"/>
          <w:sz w:val="20"/>
          <w:szCs w:val="20"/>
        </w:rPr>
        <w:t xml:space="preserve">: </w:t>
      </w:r>
      <w:hyperlink r:id="rId12" w:history="1">
        <w:r w:rsidRPr="00816803">
          <w:rPr>
            <w:rStyle w:val="Hipervnculo"/>
            <w:sz w:val="20"/>
            <w:szCs w:val="20"/>
          </w:rPr>
          <w:t>l.lazaro@romanrm.com</w:t>
        </w:r>
      </w:hyperlink>
      <w:r w:rsidR="00663011" w:rsidRPr="004C5FD8">
        <w:rPr>
          <w:color w:val="3C3C3C"/>
          <w:sz w:val="20"/>
          <w:szCs w:val="20"/>
          <w:u w:val="single"/>
        </w:rPr>
        <w:t xml:space="preserve"> </w:t>
      </w:r>
    </w:p>
    <w:p w14:paraId="641DE5A3" w14:textId="1983818B" w:rsidR="0048451C" w:rsidRDefault="00663011">
      <w:pPr>
        <w:jc w:val="center"/>
        <w:rPr>
          <w:b/>
          <w:color w:val="3C3C3C"/>
          <w:sz w:val="20"/>
          <w:szCs w:val="20"/>
        </w:rPr>
      </w:pPr>
      <w:r w:rsidRPr="004C5FD8">
        <w:rPr>
          <w:b/>
          <w:color w:val="3C3C3C"/>
          <w:sz w:val="20"/>
          <w:szCs w:val="20"/>
        </w:rPr>
        <w:t xml:space="preserve">Manu Portocarrero: </w:t>
      </w:r>
      <w:hyperlink r:id="rId13" w:history="1">
        <w:r w:rsidR="00BE0A94" w:rsidRPr="00816803">
          <w:rPr>
            <w:rStyle w:val="Hipervnculo"/>
            <w:sz w:val="20"/>
            <w:szCs w:val="20"/>
          </w:rPr>
          <w:t>m.portocarrero@romanrm.com</w:t>
        </w:r>
      </w:hyperlink>
    </w:p>
    <w:p w14:paraId="27B4F04F" w14:textId="7CEF9DFE" w:rsidR="00CC280D" w:rsidRPr="00CC280D" w:rsidRDefault="00CC280D" w:rsidP="00CC280D">
      <w:pPr>
        <w:rPr>
          <w:sz w:val="20"/>
          <w:szCs w:val="20"/>
        </w:rPr>
      </w:pPr>
    </w:p>
    <w:p w14:paraId="6E156FD7" w14:textId="0F8D0C97" w:rsidR="00CC280D" w:rsidRPr="00CC280D" w:rsidRDefault="00C5669A" w:rsidP="00CC280D">
      <w:pPr>
        <w:rPr>
          <w:sz w:val="20"/>
          <w:szCs w:val="20"/>
        </w:rPr>
      </w:pPr>
      <w:r>
        <w:rPr>
          <w:noProof/>
        </w:rPr>
        <mc:AlternateContent>
          <mc:Choice Requires="wps">
            <w:drawing>
              <wp:anchor distT="0" distB="0" distL="114300" distR="114300" simplePos="0" relativeHeight="251658240" behindDoc="1" locked="0" layoutInCell="1" allowOverlap="1" wp14:anchorId="3510A2CC" wp14:editId="3128C550">
                <wp:simplePos x="0" y="0"/>
                <wp:positionH relativeFrom="margin">
                  <wp:align>left</wp:align>
                </wp:positionH>
                <wp:positionV relativeFrom="paragraph">
                  <wp:posOffset>282575</wp:posOffset>
                </wp:positionV>
                <wp:extent cx="5593080" cy="2065020"/>
                <wp:effectExtent l="0" t="0" r="26670" b="11430"/>
                <wp:wrapTight wrapText="bothSides">
                  <wp:wrapPolygon edited="0">
                    <wp:start x="0" y="0"/>
                    <wp:lineTo x="0" y="21520"/>
                    <wp:lineTo x="21629" y="21520"/>
                    <wp:lineTo x="21629" y="0"/>
                    <wp:lineTo x="0" y="0"/>
                  </wp:wrapPolygon>
                </wp:wrapTight>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3080" cy="2065020"/>
                        </a:xfrm>
                        <a:prstGeom prst="rect">
                          <a:avLst/>
                        </a:prstGeom>
                        <a:solidFill>
                          <a:schemeClr val="lt2">
                            <a:lumMod val="100000"/>
                            <a:lumOff val="0"/>
                          </a:schemeClr>
                        </a:solidFill>
                        <a:ln w="9525">
                          <a:solidFill>
                            <a:srgbClr val="3C3C3C"/>
                          </a:solidFill>
                          <a:miter lim="800000"/>
                          <a:headEnd type="none" w="sm" len="sm"/>
                          <a:tailEnd type="none" w="sm" len="sm"/>
                        </a:ln>
                      </wps:spPr>
                      <wps:txbx>
                        <w:txbxContent>
                          <w:p w14:paraId="0495A7A3" w14:textId="272F754B" w:rsidR="00C5669A" w:rsidRDefault="00C5669A" w:rsidP="00C5669A">
                            <w:pPr>
                              <w:jc w:val="both"/>
                              <w:textDirection w:val="btLr"/>
                              <w:rPr>
                                <w:b/>
                                <w:color w:val="3C3C3C"/>
                                <w:sz w:val="18"/>
                              </w:rPr>
                            </w:pPr>
                            <w:r w:rsidRPr="00C5669A">
                              <w:rPr>
                                <w:b/>
                                <w:color w:val="3C3C3C"/>
                                <w:sz w:val="18"/>
                              </w:rPr>
                              <w:t>FYCMA, espacio seguro</w:t>
                            </w:r>
                          </w:p>
                          <w:p w14:paraId="62B37EFB" w14:textId="77777777" w:rsidR="00C5669A" w:rsidRDefault="00C5669A" w:rsidP="00C5669A">
                            <w:pPr>
                              <w:jc w:val="both"/>
                              <w:textDirection w:val="btLr"/>
                            </w:pPr>
                          </w:p>
                          <w:p w14:paraId="436D978E" w14:textId="77777777" w:rsidR="00C5669A" w:rsidRDefault="00C5669A" w:rsidP="00C5669A">
                            <w:pPr>
                              <w:jc w:val="both"/>
                              <w:textDirection w:val="btLr"/>
                              <w:rPr>
                                <w:color w:val="3C3C3C"/>
                                <w:sz w:val="18"/>
                              </w:rPr>
                            </w:pPr>
                            <w:r w:rsidRPr="00C5669A">
                              <w:rPr>
                                <w:color w:val="3C3C3C"/>
                                <w:sz w:val="18"/>
                              </w:rPr>
                              <w:t>FYCMA ha implementado un riguroso protocolo para que organizadores, expositores, proveedores, participantes y asistentes puedan llevar a cabo su actividad con las máximas garantías de seguridad durante los eventos presenciales celebrados en el recinto. Entre las medidas adoptadas destaca la adecuación de los espacios a través de delimitaciones y señalización para asegurar una distancia interpersonal, establecimiento de flujos de entrada y salida e itinerarios para una movilidad segura por el edificio, aforos limitados, diferenciación entre asientos habilitados e inhabilitados, intensificación de la limpieza y desinfección a través de la intervención permanente de personal cualificado durante el evento, se podrán encontrar puntos de dispensación de gel desinfectante distribuidos en diferentes zonas, apuesta por la digitalización para evitar elementos de necesaria manipulación y toma de temperatura a los asistentes a su llegada al recinto, entre otras.</w:t>
                            </w:r>
                            <w:r>
                              <w:rPr>
                                <w:color w:val="3C3C3C"/>
                                <w:sz w:val="18"/>
                              </w:rPr>
                              <w:tab/>
                            </w:r>
                          </w:p>
                          <w:p w14:paraId="28BEFC05" w14:textId="65E20141" w:rsidR="00C5669A" w:rsidRDefault="00C5669A" w:rsidP="00C5669A">
                            <w:pPr>
                              <w:jc w:val="both"/>
                              <w:textDirection w:val="btLr"/>
                              <w:rPr>
                                <w:color w:val="3C3C3C"/>
                                <w:sz w:val="18"/>
                              </w:rPr>
                            </w:pPr>
                            <w:r>
                              <w:rPr>
                                <w:color w:val="3C3C3C"/>
                                <w:sz w:val="18"/>
                              </w:rPr>
                              <w:br/>
                            </w:r>
                            <w:r w:rsidRPr="00C5669A">
                              <w:rPr>
                                <w:color w:val="3C3C3C"/>
                                <w:sz w:val="18"/>
                              </w:rPr>
                              <w:t xml:space="preserve">Más información en </w:t>
                            </w:r>
                            <w:hyperlink r:id="rId14" w:history="1">
                              <w:r w:rsidRPr="00EC2CE0">
                                <w:rPr>
                                  <w:rStyle w:val="Hipervnculo"/>
                                  <w:sz w:val="18"/>
                                </w:rPr>
                                <w:t>www.fycma.com</w:t>
                              </w:r>
                            </w:hyperlink>
                          </w:p>
                          <w:p w14:paraId="41D70630" w14:textId="77777777" w:rsidR="00C5669A" w:rsidRDefault="00C5669A" w:rsidP="00C5669A">
                            <w:pPr>
                              <w:textDirection w:val="btLr"/>
                            </w:pPr>
                          </w:p>
                        </w:txbxContent>
                      </wps:txbx>
                      <wps:bodyPr rot="0" vert="horz" wrap="square" lIns="91425" tIns="45698" rIns="91425" bIns="45698" anchor="t" anchorCtr="0" upright="1">
                        <a:noAutofit/>
                      </wps:bodyPr>
                    </wps:wsp>
                  </a:graphicData>
                </a:graphic>
              </wp:anchor>
            </w:drawing>
          </mc:Choice>
          <mc:Fallback>
            <w:pict>
              <v:rect w14:anchorId="3510A2CC" id="_x0000_s1027" style="position:absolute;margin-left:0;margin-top:22.25pt;width:440.4pt;height:162.6pt;z-index:-2516582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" fillcolor="#eeece1 [3203]" strokecolor="#3c3c3c">
                <v:stroke startarrowwidth="narrow" startarrowlength="short" endarrowwidth="narrow" endarrowlength="short"/>
                <v:path arrowok="t"/>
                <v:textbox inset="2.53958mm,1.2694mm,2.53958mm,1.2694mm">
                  <w:txbxContent>
                    <w:p w14:paraId="0495A7A3" w14:textId="272F754B" w:rsidR="00C5669A" w:rsidRDefault="00C5669A" w:rsidP="00C5669A">
                      <w:pPr>
                        <w:jc w:val="both"/>
                        <w:textDirection w:val="btLr"/>
                        <w:rPr>
                          <w:b/>
                          <w:color w:val="3C3C3C"/>
                          <w:sz w:val="18"/>
                        </w:rPr>
                      </w:pPr>
                      <w:r w:rsidRPr="00C5669A">
                        <w:rPr>
                          <w:b/>
                          <w:color w:val="3C3C3C"/>
                          <w:sz w:val="18"/>
                        </w:rPr>
                        <w:t>FYCMA, espacio seguro</w:t>
                      </w:r>
                    </w:p>
                    <w:p w14:paraId="62B37EFB" w14:textId="77777777" w:rsidR="00C5669A" w:rsidRDefault="00C5669A" w:rsidP="00C5669A">
                      <w:pPr>
                        <w:jc w:val="both"/>
                        <w:textDirection w:val="btLr"/>
                      </w:pPr>
                    </w:p>
                    <w:p w14:paraId="436D978E" w14:textId="77777777" w:rsidR="00C5669A" w:rsidRDefault="00C5669A" w:rsidP="00C5669A">
                      <w:pPr>
                        <w:jc w:val="both"/>
                        <w:textDirection w:val="btLr"/>
                        <w:rPr>
                          <w:color w:val="3C3C3C"/>
                          <w:sz w:val="18"/>
                        </w:rPr>
                      </w:pPr>
                      <w:r w:rsidRPr="00C5669A">
                        <w:rPr>
                          <w:color w:val="3C3C3C"/>
                          <w:sz w:val="18"/>
                        </w:rPr>
                        <w:t>FYCMA ha implementado un riguroso protocolo para que organizadores, expositores, proveedores, participantes y asistentes puedan llevar a cabo su actividad con las máximas garantías de seguridad durante los eventos presenciales celebrados en el recinto. Entre las medidas adoptadas destaca la adecuación de los espacios a través de delimitaciones y señalización para asegurar una distancia interpersonal, establecimiento de flujos de entrada y salida e itinerarios para una movilidad segura por el edificio, aforos limitados, diferenciación entre asientos habilitados e inhabilitados, intensificación de la limpieza y desinfección a través de la intervención permanente de personal cualificado durante el evento, se podrán encontrar puntos de dispensación de gel desinfectante distribuidos en diferentes zonas, apuesta por la digitalización para evitar elementos de necesaria manipulación y toma de temperatura a los asistentes a su llegada al recinto, entre otras.</w:t>
                      </w:r>
                      <w:r>
                        <w:rPr>
                          <w:color w:val="3C3C3C"/>
                          <w:sz w:val="18"/>
                        </w:rPr>
                        <w:tab/>
                      </w:r>
                    </w:p>
                    <w:p w14:paraId="28BEFC05" w14:textId="65E20141" w:rsidR="00C5669A" w:rsidRDefault="00C5669A" w:rsidP="00C5669A">
                      <w:pPr>
                        <w:jc w:val="both"/>
                        <w:textDirection w:val="btLr"/>
                        <w:rPr>
                          <w:color w:val="3C3C3C"/>
                          <w:sz w:val="18"/>
                        </w:rPr>
                      </w:pPr>
                      <w:r>
                        <w:rPr>
                          <w:color w:val="3C3C3C"/>
                          <w:sz w:val="18"/>
                        </w:rPr>
                        <w:br/>
                      </w:r>
                      <w:r w:rsidRPr="00C5669A">
                        <w:rPr>
                          <w:color w:val="3C3C3C"/>
                          <w:sz w:val="18"/>
                        </w:rPr>
                        <w:t xml:space="preserve">Más información en </w:t>
                      </w:r>
                      <w:hyperlink r:id="rId15" w:history="1">
                        <w:r w:rsidRPr="00EC2CE0">
                          <w:rPr>
                            <w:rStyle w:val="Hipervnculo"/>
                            <w:sz w:val="18"/>
                          </w:rPr>
                          <w:t>www.fycma.com</w:t>
                        </w:r>
                      </w:hyperlink>
                    </w:p>
                    <w:p w14:paraId="41D70630" w14:textId="77777777" w:rsidR="00C5669A" w:rsidRDefault="00C5669A" w:rsidP="00C5669A">
                      <w:pPr>
                        <w:textDirection w:val="btLr"/>
                      </w:pPr>
                    </w:p>
                  </w:txbxContent>
                </v:textbox>
                <w10:wrap type="tight" anchorx="margin"/>
              </v:rect>
            </w:pict>
          </mc:Fallback>
        </mc:AlternateContent>
      </w:r>
    </w:p>
    <w:p w14:paraId="5A54012F" w14:textId="38DA792D" w:rsidR="00CC280D" w:rsidRDefault="00CC280D" w:rsidP="00CC280D">
      <w:pPr>
        <w:rPr>
          <w:sz w:val="20"/>
          <w:szCs w:val="20"/>
          <w:lang w:eastAsia="en-US"/>
        </w:rPr>
      </w:pPr>
    </w:p>
    <w:p w14:paraId="155DDAE6" w14:textId="77777777" w:rsidR="00CC280D" w:rsidRPr="00CC280D" w:rsidRDefault="00CC280D" w:rsidP="00CC280D">
      <w:pPr>
        <w:tabs>
          <w:tab w:val="left" w:pos="1428"/>
        </w:tabs>
        <w:rPr>
          <w:sz w:val="20"/>
          <w:szCs w:val="20"/>
        </w:rPr>
      </w:pPr>
    </w:p>
    <w:sectPr w:rsidR="00CC280D" w:rsidRPr="00CC280D" w:rsidSect="0037791B">
      <w:headerReference w:type="default" r:id="rId16"/>
      <w:footerReference w:type="default" r:id="rId17"/>
      <w:pgSz w:w="11906" w:h="16838"/>
      <w:pgMar w:top="1843" w:right="1558" w:bottom="142" w:left="1540" w:header="568"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4CE7E" w14:textId="77777777" w:rsidR="002F208F" w:rsidRDefault="002F208F">
      <w:r>
        <w:separator/>
      </w:r>
    </w:p>
  </w:endnote>
  <w:endnote w:type="continuationSeparator" w:id="0">
    <w:p w14:paraId="58192B11" w14:textId="77777777" w:rsidR="002F208F" w:rsidRDefault="002F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bin">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A243" w14:textId="71F4A7CC" w:rsidR="0048451C" w:rsidRDefault="0048451C">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B2BE5" w14:textId="77777777" w:rsidR="002F208F" w:rsidRDefault="002F208F">
      <w:r>
        <w:separator/>
      </w:r>
    </w:p>
  </w:footnote>
  <w:footnote w:type="continuationSeparator" w:id="0">
    <w:p w14:paraId="4E3B2769" w14:textId="77777777" w:rsidR="002F208F" w:rsidRDefault="002F2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419F" w14:textId="4BA6FC51" w:rsidR="0048451C" w:rsidRDefault="00FD5EF6">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64384" behindDoc="1" locked="0" layoutInCell="1" allowOverlap="1" wp14:anchorId="6DF9794C" wp14:editId="378C4D1B">
          <wp:simplePos x="0" y="0"/>
          <wp:positionH relativeFrom="margin">
            <wp:posOffset>3688080</wp:posOffset>
          </wp:positionH>
          <wp:positionV relativeFrom="paragraph">
            <wp:posOffset>222885</wp:posOffset>
          </wp:positionV>
          <wp:extent cx="1899920" cy="447040"/>
          <wp:effectExtent l="0" t="0" r="5080" b="0"/>
          <wp:wrapTight wrapText="bothSides">
            <wp:wrapPolygon edited="0">
              <wp:start x="0" y="0"/>
              <wp:lineTo x="0" y="20250"/>
              <wp:lineTo x="21441" y="20250"/>
              <wp:lineTo x="21441" y="0"/>
              <wp:lineTo x="0" y="0"/>
            </wp:wrapPolygon>
          </wp:wrapTight>
          <wp:docPr id="5" name="Imagen 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899920" cy="447040"/>
                  </a:xfrm>
                  <a:prstGeom prst="rect">
                    <a:avLst/>
                  </a:prstGeom>
                </pic:spPr>
              </pic:pic>
            </a:graphicData>
          </a:graphic>
        </wp:anchor>
      </w:drawing>
    </w:r>
    <w:r>
      <w:rPr>
        <w:noProof/>
      </w:rPr>
      <w:drawing>
        <wp:anchor distT="0" distB="0" distL="114300" distR="114300" simplePos="0" relativeHeight="251663360" behindDoc="1" locked="0" layoutInCell="1" allowOverlap="1" wp14:anchorId="43A90AD6" wp14:editId="602A8285">
          <wp:simplePos x="0" y="0"/>
          <wp:positionH relativeFrom="margin">
            <wp:posOffset>1694180</wp:posOffset>
          </wp:positionH>
          <wp:positionV relativeFrom="paragraph">
            <wp:posOffset>233680</wp:posOffset>
          </wp:positionV>
          <wp:extent cx="1758315" cy="434975"/>
          <wp:effectExtent l="0" t="0" r="0" b="3175"/>
          <wp:wrapTight wrapText="bothSides">
            <wp:wrapPolygon edited="0">
              <wp:start x="0" y="0"/>
              <wp:lineTo x="0" y="20812"/>
              <wp:lineTo x="21296" y="20812"/>
              <wp:lineTo x="21296" y="0"/>
              <wp:lineTo x="0" y="0"/>
            </wp:wrapPolygon>
          </wp:wrapTight>
          <wp:docPr id="4"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rotWithShape="1">
                  <a:blip r:embed="rId2">
                    <a:extLst>
                      <a:ext uri="{28A0092B-C50C-407E-A947-70E740481C1C}">
                        <a14:useLocalDpi xmlns:a14="http://schemas.microsoft.com/office/drawing/2010/main" val="0"/>
                      </a:ext>
                    </a:extLst>
                  </a:blip>
                  <a:srcRect l="12182" t="22891" r="8290" b="27824"/>
                  <a:stretch/>
                </pic:blipFill>
                <pic:spPr bwMode="auto">
                  <a:xfrm>
                    <a:off x="0" y="0"/>
                    <a:ext cx="1758315" cy="434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1D66">
      <w:rPr>
        <w:noProof/>
        <w:color w:val="000000"/>
      </w:rPr>
      <w:drawing>
        <wp:anchor distT="0" distB="0" distL="114300" distR="114300" simplePos="0" relativeHeight="251661312" behindDoc="0" locked="0" layoutInCell="1" allowOverlap="1" wp14:anchorId="507D3995" wp14:editId="03B29C4B">
          <wp:simplePos x="0" y="0"/>
          <wp:positionH relativeFrom="margin">
            <wp:align>left</wp:align>
          </wp:positionH>
          <wp:positionV relativeFrom="paragraph">
            <wp:posOffset>65405</wp:posOffset>
          </wp:positionV>
          <wp:extent cx="1183640" cy="58102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364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63011">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EEB"/>
    <w:multiLevelType w:val="hybridMultilevel"/>
    <w:tmpl w:val="CE2E2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4F63BD"/>
    <w:multiLevelType w:val="hybridMultilevel"/>
    <w:tmpl w:val="4748FA7A"/>
    <w:lvl w:ilvl="0" w:tplc="D722DFB8">
      <w:start w:val="1"/>
      <w:numFmt w:val="bullet"/>
      <w:lvlText w:val=""/>
      <w:lvlJc w:val="left"/>
      <w:pPr>
        <w:ind w:left="720" w:hanging="360"/>
      </w:pPr>
      <w:rPr>
        <w:rFonts w:ascii="Symbol" w:hAnsi="Symbol" w:hint="default"/>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4754D08"/>
    <w:multiLevelType w:val="hybridMultilevel"/>
    <w:tmpl w:val="54C0C9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095650A"/>
    <w:multiLevelType w:val="hybridMultilevel"/>
    <w:tmpl w:val="074E9F9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16E3F94"/>
    <w:multiLevelType w:val="multilevel"/>
    <w:tmpl w:val="8456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BD5FAB"/>
    <w:multiLevelType w:val="multilevel"/>
    <w:tmpl w:val="F692C6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4"/>
  </w:num>
  <w:num w:numId="4">
    <w:abstractNumId w:val="0"/>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51C"/>
    <w:rsid w:val="000012B1"/>
    <w:rsid w:val="00001A52"/>
    <w:rsid w:val="00002A43"/>
    <w:rsid w:val="000030B5"/>
    <w:rsid w:val="00006668"/>
    <w:rsid w:val="0000693C"/>
    <w:rsid w:val="00017B11"/>
    <w:rsid w:val="0003387D"/>
    <w:rsid w:val="00035259"/>
    <w:rsid w:val="00041FB5"/>
    <w:rsid w:val="00052CE6"/>
    <w:rsid w:val="00053AA6"/>
    <w:rsid w:val="00055F21"/>
    <w:rsid w:val="0006444B"/>
    <w:rsid w:val="00065706"/>
    <w:rsid w:val="00083C54"/>
    <w:rsid w:val="00090BFA"/>
    <w:rsid w:val="0009604D"/>
    <w:rsid w:val="00096BE1"/>
    <w:rsid w:val="000A12D0"/>
    <w:rsid w:val="000A3212"/>
    <w:rsid w:val="000B4456"/>
    <w:rsid w:val="000C1DB6"/>
    <w:rsid w:val="000C50D5"/>
    <w:rsid w:val="000E7E9F"/>
    <w:rsid w:val="0010671C"/>
    <w:rsid w:val="00116E3F"/>
    <w:rsid w:val="00117F93"/>
    <w:rsid w:val="001279C7"/>
    <w:rsid w:val="00141713"/>
    <w:rsid w:val="001513CE"/>
    <w:rsid w:val="00153998"/>
    <w:rsid w:val="00162816"/>
    <w:rsid w:val="00164F16"/>
    <w:rsid w:val="00170F55"/>
    <w:rsid w:val="001742ED"/>
    <w:rsid w:val="001743C7"/>
    <w:rsid w:val="001803DC"/>
    <w:rsid w:val="00183828"/>
    <w:rsid w:val="001862C3"/>
    <w:rsid w:val="00192654"/>
    <w:rsid w:val="001A0CF5"/>
    <w:rsid w:val="001A0E42"/>
    <w:rsid w:val="001B0AB2"/>
    <w:rsid w:val="001B60A5"/>
    <w:rsid w:val="001C0F2D"/>
    <w:rsid w:val="001D756F"/>
    <w:rsid w:val="001F22EC"/>
    <w:rsid w:val="00201B42"/>
    <w:rsid w:val="00211079"/>
    <w:rsid w:val="00213253"/>
    <w:rsid w:val="00220348"/>
    <w:rsid w:val="002234DE"/>
    <w:rsid w:val="00230FF3"/>
    <w:rsid w:val="00235E1D"/>
    <w:rsid w:val="00244917"/>
    <w:rsid w:val="002562F1"/>
    <w:rsid w:val="00257DAB"/>
    <w:rsid w:val="00263859"/>
    <w:rsid w:val="00273003"/>
    <w:rsid w:val="002739B0"/>
    <w:rsid w:val="002861B8"/>
    <w:rsid w:val="002A0788"/>
    <w:rsid w:val="002B311A"/>
    <w:rsid w:val="002B3274"/>
    <w:rsid w:val="002D2F05"/>
    <w:rsid w:val="002D5B86"/>
    <w:rsid w:val="002E7244"/>
    <w:rsid w:val="002F208F"/>
    <w:rsid w:val="00307591"/>
    <w:rsid w:val="00311A9D"/>
    <w:rsid w:val="0032153B"/>
    <w:rsid w:val="00325DFF"/>
    <w:rsid w:val="003333E5"/>
    <w:rsid w:val="00336114"/>
    <w:rsid w:val="00336455"/>
    <w:rsid w:val="00340385"/>
    <w:rsid w:val="00353588"/>
    <w:rsid w:val="00365A99"/>
    <w:rsid w:val="0037791B"/>
    <w:rsid w:val="003805C7"/>
    <w:rsid w:val="00380F76"/>
    <w:rsid w:val="003813B4"/>
    <w:rsid w:val="00391DE2"/>
    <w:rsid w:val="00393F78"/>
    <w:rsid w:val="003951BF"/>
    <w:rsid w:val="003A1613"/>
    <w:rsid w:val="003B0EC6"/>
    <w:rsid w:val="003C224E"/>
    <w:rsid w:val="003D1EFC"/>
    <w:rsid w:val="00401C43"/>
    <w:rsid w:val="00401DB5"/>
    <w:rsid w:val="004039E9"/>
    <w:rsid w:val="00404772"/>
    <w:rsid w:val="00405DD2"/>
    <w:rsid w:val="004117ED"/>
    <w:rsid w:val="00424223"/>
    <w:rsid w:val="00424F73"/>
    <w:rsid w:val="00433476"/>
    <w:rsid w:val="00434498"/>
    <w:rsid w:val="004426F6"/>
    <w:rsid w:val="004470ED"/>
    <w:rsid w:val="00467667"/>
    <w:rsid w:val="00471A3F"/>
    <w:rsid w:val="00472619"/>
    <w:rsid w:val="00474AEE"/>
    <w:rsid w:val="00477B2B"/>
    <w:rsid w:val="00483265"/>
    <w:rsid w:val="0048451C"/>
    <w:rsid w:val="004A114F"/>
    <w:rsid w:val="004B18B1"/>
    <w:rsid w:val="004C1771"/>
    <w:rsid w:val="004C1F7D"/>
    <w:rsid w:val="004C28A0"/>
    <w:rsid w:val="004C451C"/>
    <w:rsid w:val="004C5FD8"/>
    <w:rsid w:val="004D368D"/>
    <w:rsid w:val="004D435C"/>
    <w:rsid w:val="004D519E"/>
    <w:rsid w:val="004D60E0"/>
    <w:rsid w:val="004E4825"/>
    <w:rsid w:val="004E5FFD"/>
    <w:rsid w:val="004F0EC8"/>
    <w:rsid w:val="00533A59"/>
    <w:rsid w:val="00552E8C"/>
    <w:rsid w:val="00556CDD"/>
    <w:rsid w:val="00564F3A"/>
    <w:rsid w:val="00570B07"/>
    <w:rsid w:val="005774EB"/>
    <w:rsid w:val="00587CB2"/>
    <w:rsid w:val="0059269E"/>
    <w:rsid w:val="005956AF"/>
    <w:rsid w:val="0059677A"/>
    <w:rsid w:val="00596C34"/>
    <w:rsid w:val="005A593F"/>
    <w:rsid w:val="005C3085"/>
    <w:rsid w:val="005C67DD"/>
    <w:rsid w:val="005D4CF4"/>
    <w:rsid w:val="005D60BD"/>
    <w:rsid w:val="005E48D6"/>
    <w:rsid w:val="005E49C7"/>
    <w:rsid w:val="005E73E7"/>
    <w:rsid w:val="005E74C4"/>
    <w:rsid w:val="005F6E0F"/>
    <w:rsid w:val="0060122B"/>
    <w:rsid w:val="006112B5"/>
    <w:rsid w:val="006148CA"/>
    <w:rsid w:val="006254ED"/>
    <w:rsid w:val="0063252F"/>
    <w:rsid w:val="006337F9"/>
    <w:rsid w:val="00643C35"/>
    <w:rsid w:val="00656AA7"/>
    <w:rsid w:val="00663011"/>
    <w:rsid w:val="006716AC"/>
    <w:rsid w:val="006868E4"/>
    <w:rsid w:val="00687B9D"/>
    <w:rsid w:val="006944C3"/>
    <w:rsid w:val="00695751"/>
    <w:rsid w:val="006A24ED"/>
    <w:rsid w:val="006A3B86"/>
    <w:rsid w:val="006A5BF5"/>
    <w:rsid w:val="006A607D"/>
    <w:rsid w:val="006C05E4"/>
    <w:rsid w:val="006D6A29"/>
    <w:rsid w:val="006E0F7B"/>
    <w:rsid w:val="006E3896"/>
    <w:rsid w:val="007035BD"/>
    <w:rsid w:val="00711586"/>
    <w:rsid w:val="00713063"/>
    <w:rsid w:val="007136BF"/>
    <w:rsid w:val="00743C9C"/>
    <w:rsid w:val="00757C0E"/>
    <w:rsid w:val="00760121"/>
    <w:rsid w:val="00771FCC"/>
    <w:rsid w:val="00780AEA"/>
    <w:rsid w:val="007B3254"/>
    <w:rsid w:val="007D133A"/>
    <w:rsid w:val="007D3C0D"/>
    <w:rsid w:val="007D5ABD"/>
    <w:rsid w:val="007D5FD7"/>
    <w:rsid w:val="007E3CE2"/>
    <w:rsid w:val="007E4904"/>
    <w:rsid w:val="007F6D62"/>
    <w:rsid w:val="00806DAD"/>
    <w:rsid w:val="0081138E"/>
    <w:rsid w:val="00813F2F"/>
    <w:rsid w:val="008205DC"/>
    <w:rsid w:val="0082322C"/>
    <w:rsid w:val="00845DCC"/>
    <w:rsid w:val="008553AD"/>
    <w:rsid w:val="0085588D"/>
    <w:rsid w:val="0086441B"/>
    <w:rsid w:val="00864E6D"/>
    <w:rsid w:val="008837D0"/>
    <w:rsid w:val="0088384E"/>
    <w:rsid w:val="0088687C"/>
    <w:rsid w:val="00893E28"/>
    <w:rsid w:val="00896332"/>
    <w:rsid w:val="008979E4"/>
    <w:rsid w:val="008B5211"/>
    <w:rsid w:val="008C19C8"/>
    <w:rsid w:val="008D6CD5"/>
    <w:rsid w:val="008F1D66"/>
    <w:rsid w:val="008F74FF"/>
    <w:rsid w:val="00902D1B"/>
    <w:rsid w:val="00910989"/>
    <w:rsid w:val="00910B3D"/>
    <w:rsid w:val="00913E2D"/>
    <w:rsid w:val="00913EE7"/>
    <w:rsid w:val="0091415D"/>
    <w:rsid w:val="00920741"/>
    <w:rsid w:val="00930495"/>
    <w:rsid w:val="00931EED"/>
    <w:rsid w:val="00942CE6"/>
    <w:rsid w:val="00956F69"/>
    <w:rsid w:val="00960F90"/>
    <w:rsid w:val="00960FF7"/>
    <w:rsid w:val="00964041"/>
    <w:rsid w:val="00966F08"/>
    <w:rsid w:val="00974C46"/>
    <w:rsid w:val="00975D41"/>
    <w:rsid w:val="00982F67"/>
    <w:rsid w:val="00992476"/>
    <w:rsid w:val="00995453"/>
    <w:rsid w:val="009959F6"/>
    <w:rsid w:val="009A1301"/>
    <w:rsid w:val="009A13A9"/>
    <w:rsid w:val="009A7903"/>
    <w:rsid w:val="009B10DE"/>
    <w:rsid w:val="009C4067"/>
    <w:rsid w:val="009C791D"/>
    <w:rsid w:val="009D04EF"/>
    <w:rsid w:val="009D20DD"/>
    <w:rsid w:val="009D3B21"/>
    <w:rsid w:val="009E19E3"/>
    <w:rsid w:val="009F497A"/>
    <w:rsid w:val="009F5EA1"/>
    <w:rsid w:val="00A001DD"/>
    <w:rsid w:val="00A0727A"/>
    <w:rsid w:val="00A13589"/>
    <w:rsid w:val="00A17F70"/>
    <w:rsid w:val="00A24CC6"/>
    <w:rsid w:val="00A27C48"/>
    <w:rsid w:val="00A33E59"/>
    <w:rsid w:val="00A606CB"/>
    <w:rsid w:val="00A70EF3"/>
    <w:rsid w:val="00A80EA7"/>
    <w:rsid w:val="00A90949"/>
    <w:rsid w:val="00AC3B4E"/>
    <w:rsid w:val="00AD7D83"/>
    <w:rsid w:val="00B00C97"/>
    <w:rsid w:val="00B13FD7"/>
    <w:rsid w:val="00B200A2"/>
    <w:rsid w:val="00B32AFF"/>
    <w:rsid w:val="00B32FCC"/>
    <w:rsid w:val="00B409C4"/>
    <w:rsid w:val="00B41908"/>
    <w:rsid w:val="00B44305"/>
    <w:rsid w:val="00B51010"/>
    <w:rsid w:val="00B55228"/>
    <w:rsid w:val="00B56439"/>
    <w:rsid w:val="00B579D2"/>
    <w:rsid w:val="00B60E94"/>
    <w:rsid w:val="00B610F9"/>
    <w:rsid w:val="00B67BD3"/>
    <w:rsid w:val="00B83559"/>
    <w:rsid w:val="00B838B5"/>
    <w:rsid w:val="00B861A2"/>
    <w:rsid w:val="00B94BE3"/>
    <w:rsid w:val="00B95AA2"/>
    <w:rsid w:val="00BA4BA3"/>
    <w:rsid w:val="00BB267C"/>
    <w:rsid w:val="00BB6F7C"/>
    <w:rsid w:val="00BC2679"/>
    <w:rsid w:val="00BC72BC"/>
    <w:rsid w:val="00BD4CE1"/>
    <w:rsid w:val="00BE05F9"/>
    <w:rsid w:val="00BE0A94"/>
    <w:rsid w:val="00BE2A69"/>
    <w:rsid w:val="00BE48F9"/>
    <w:rsid w:val="00BF1EE6"/>
    <w:rsid w:val="00BF2870"/>
    <w:rsid w:val="00BF5657"/>
    <w:rsid w:val="00BF612D"/>
    <w:rsid w:val="00C01718"/>
    <w:rsid w:val="00C305CC"/>
    <w:rsid w:val="00C33927"/>
    <w:rsid w:val="00C44517"/>
    <w:rsid w:val="00C54AE7"/>
    <w:rsid w:val="00C5669A"/>
    <w:rsid w:val="00C57A59"/>
    <w:rsid w:val="00C76610"/>
    <w:rsid w:val="00C87F70"/>
    <w:rsid w:val="00C909A4"/>
    <w:rsid w:val="00CA229A"/>
    <w:rsid w:val="00CA39CC"/>
    <w:rsid w:val="00CA5A17"/>
    <w:rsid w:val="00CB1838"/>
    <w:rsid w:val="00CB3255"/>
    <w:rsid w:val="00CB3566"/>
    <w:rsid w:val="00CB3A1C"/>
    <w:rsid w:val="00CC280D"/>
    <w:rsid w:val="00CD3767"/>
    <w:rsid w:val="00CE0E3A"/>
    <w:rsid w:val="00CE1E36"/>
    <w:rsid w:val="00CE322C"/>
    <w:rsid w:val="00CE6A32"/>
    <w:rsid w:val="00CF1666"/>
    <w:rsid w:val="00CF4C3B"/>
    <w:rsid w:val="00D000C2"/>
    <w:rsid w:val="00D019D1"/>
    <w:rsid w:val="00D048AC"/>
    <w:rsid w:val="00D15D39"/>
    <w:rsid w:val="00D27EB0"/>
    <w:rsid w:val="00D33A65"/>
    <w:rsid w:val="00D52D13"/>
    <w:rsid w:val="00D615A1"/>
    <w:rsid w:val="00D6744D"/>
    <w:rsid w:val="00D7159D"/>
    <w:rsid w:val="00D744B5"/>
    <w:rsid w:val="00D750AF"/>
    <w:rsid w:val="00D834D7"/>
    <w:rsid w:val="00D871C7"/>
    <w:rsid w:val="00D90F97"/>
    <w:rsid w:val="00D96F8B"/>
    <w:rsid w:val="00DA1A93"/>
    <w:rsid w:val="00DA665F"/>
    <w:rsid w:val="00DB0842"/>
    <w:rsid w:val="00DB0DD8"/>
    <w:rsid w:val="00DB2299"/>
    <w:rsid w:val="00DC52DB"/>
    <w:rsid w:val="00DD173E"/>
    <w:rsid w:val="00DE303C"/>
    <w:rsid w:val="00E02F29"/>
    <w:rsid w:val="00E105D5"/>
    <w:rsid w:val="00E20C1A"/>
    <w:rsid w:val="00E32246"/>
    <w:rsid w:val="00E462D0"/>
    <w:rsid w:val="00E64931"/>
    <w:rsid w:val="00E650A9"/>
    <w:rsid w:val="00E7187F"/>
    <w:rsid w:val="00E75214"/>
    <w:rsid w:val="00E8211B"/>
    <w:rsid w:val="00E92B95"/>
    <w:rsid w:val="00EB4954"/>
    <w:rsid w:val="00EB5DA4"/>
    <w:rsid w:val="00EC1CF8"/>
    <w:rsid w:val="00ED2C23"/>
    <w:rsid w:val="00ED4E9A"/>
    <w:rsid w:val="00EE1380"/>
    <w:rsid w:val="00EE2BA6"/>
    <w:rsid w:val="00EE707C"/>
    <w:rsid w:val="00EF4183"/>
    <w:rsid w:val="00F01AB9"/>
    <w:rsid w:val="00F14E2A"/>
    <w:rsid w:val="00F16006"/>
    <w:rsid w:val="00F169BA"/>
    <w:rsid w:val="00F17BEA"/>
    <w:rsid w:val="00F333D1"/>
    <w:rsid w:val="00F44118"/>
    <w:rsid w:val="00F50304"/>
    <w:rsid w:val="00F50711"/>
    <w:rsid w:val="00F646B1"/>
    <w:rsid w:val="00F82576"/>
    <w:rsid w:val="00FB37E6"/>
    <w:rsid w:val="00FB4EBE"/>
    <w:rsid w:val="00FB64D1"/>
    <w:rsid w:val="00FC0FD6"/>
    <w:rsid w:val="00FD20CE"/>
    <w:rsid w:val="00FD5EF6"/>
    <w:rsid w:val="00FF3FC1"/>
    <w:rsid w:val="00FF5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BC3B40"/>
  <w15:docId w15:val="{E7A7276D-319D-9B4E-B62E-81C9A7D5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77A"/>
  </w:style>
  <w:style w:type="paragraph" w:styleId="Ttulo1">
    <w:name w:val="heading 1"/>
    <w:basedOn w:val="Normal"/>
    <w:next w:val="Normal"/>
    <w:uiPriority w:val="9"/>
    <w:qFormat/>
    <w:rsid w:val="0059677A"/>
    <w:pPr>
      <w:keepNext/>
      <w:outlineLvl w:val="0"/>
    </w:pPr>
    <w:rPr>
      <w:rFonts w:ascii="Cabin" w:eastAsia="Cabin" w:hAnsi="Cabin" w:cs="Cabin"/>
      <w:b/>
      <w:i/>
    </w:rPr>
  </w:style>
  <w:style w:type="paragraph" w:styleId="Ttulo2">
    <w:name w:val="heading 2"/>
    <w:basedOn w:val="Normal"/>
    <w:next w:val="Normal"/>
    <w:uiPriority w:val="9"/>
    <w:semiHidden/>
    <w:unhideWhenUsed/>
    <w:qFormat/>
    <w:rsid w:val="0059677A"/>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59677A"/>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59677A"/>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59677A"/>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rsid w:val="0059677A"/>
    <w:pPr>
      <w:keepNext/>
      <w:ind w:right="-407"/>
      <w:outlineLvl w:val="5"/>
    </w:pPr>
    <w:rPr>
      <w:rFonts w:ascii="Verdana" w:eastAsia="Verdana" w:hAnsi="Verdana" w:cs="Verdan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9677A"/>
    <w:tblPr>
      <w:tblCellMar>
        <w:top w:w="0" w:type="dxa"/>
        <w:left w:w="0" w:type="dxa"/>
        <w:bottom w:w="0" w:type="dxa"/>
        <w:right w:w="0" w:type="dxa"/>
      </w:tblCellMar>
    </w:tblPr>
  </w:style>
  <w:style w:type="paragraph" w:styleId="Ttulo">
    <w:name w:val="Title"/>
    <w:basedOn w:val="Normal"/>
    <w:next w:val="Normal"/>
    <w:uiPriority w:val="10"/>
    <w:qFormat/>
    <w:rsid w:val="0059677A"/>
    <w:pPr>
      <w:keepNext/>
      <w:keepLines/>
      <w:spacing w:before="480" w:after="120"/>
    </w:pPr>
    <w:rPr>
      <w:b/>
      <w:sz w:val="72"/>
      <w:szCs w:val="72"/>
    </w:rPr>
  </w:style>
  <w:style w:type="paragraph" w:styleId="Subttulo">
    <w:name w:val="Subtitle"/>
    <w:basedOn w:val="Normal"/>
    <w:next w:val="Normal"/>
    <w:uiPriority w:val="11"/>
    <w:qFormat/>
    <w:rsid w:val="0059677A"/>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sid w:val="0059677A"/>
    <w:rPr>
      <w:sz w:val="20"/>
      <w:szCs w:val="20"/>
    </w:rPr>
  </w:style>
  <w:style w:type="character" w:customStyle="1" w:styleId="TextocomentarioCar">
    <w:name w:val="Texto comentario Car"/>
    <w:basedOn w:val="Fuentedeprrafopredeter"/>
    <w:link w:val="Textocomentario"/>
    <w:uiPriority w:val="99"/>
    <w:semiHidden/>
    <w:rsid w:val="0059677A"/>
    <w:rPr>
      <w:sz w:val="20"/>
      <w:szCs w:val="20"/>
    </w:rPr>
  </w:style>
  <w:style w:type="character" w:styleId="Refdecomentario">
    <w:name w:val="annotation reference"/>
    <w:basedOn w:val="Fuentedeprrafopredeter"/>
    <w:uiPriority w:val="99"/>
    <w:semiHidden/>
    <w:unhideWhenUsed/>
    <w:rsid w:val="0059677A"/>
    <w:rPr>
      <w:sz w:val="16"/>
      <w:szCs w:val="16"/>
    </w:rPr>
  </w:style>
  <w:style w:type="paragraph" w:styleId="Textodeglobo">
    <w:name w:val="Balloon Text"/>
    <w:basedOn w:val="Normal"/>
    <w:link w:val="TextodegloboCar"/>
    <w:uiPriority w:val="99"/>
    <w:semiHidden/>
    <w:unhideWhenUsed/>
    <w:rsid w:val="007E3C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3CE2"/>
    <w:rPr>
      <w:rFonts w:ascii="Segoe UI" w:hAnsi="Segoe UI" w:cs="Segoe UI"/>
      <w:sz w:val="18"/>
      <w:szCs w:val="18"/>
    </w:rPr>
  </w:style>
  <w:style w:type="paragraph" w:styleId="Prrafodelista">
    <w:name w:val="List Paragraph"/>
    <w:basedOn w:val="Normal"/>
    <w:uiPriority w:val="34"/>
    <w:qFormat/>
    <w:rsid w:val="007E3CE2"/>
    <w:pPr>
      <w:ind w:left="720"/>
      <w:contextualSpacing/>
    </w:pPr>
  </w:style>
  <w:style w:type="paragraph" w:styleId="Revisin">
    <w:name w:val="Revision"/>
    <w:hidden/>
    <w:uiPriority w:val="99"/>
    <w:semiHidden/>
    <w:rsid w:val="007E3CE2"/>
  </w:style>
  <w:style w:type="paragraph" w:styleId="Encabezado">
    <w:name w:val="header"/>
    <w:basedOn w:val="Normal"/>
    <w:link w:val="EncabezadoCar"/>
    <w:uiPriority w:val="99"/>
    <w:unhideWhenUsed/>
    <w:rsid w:val="003813B4"/>
    <w:pPr>
      <w:tabs>
        <w:tab w:val="center" w:pos="4252"/>
        <w:tab w:val="right" w:pos="8504"/>
      </w:tabs>
    </w:pPr>
  </w:style>
  <w:style w:type="character" w:customStyle="1" w:styleId="EncabezadoCar">
    <w:name w:val="Encabezado Car"/>
    <w:basedOn w:val="Fuentedeprrafopredeter"/>
    <w:link w:val="Encabezado"/>
    <w:uiPriority w:val="99"/>
    <w:rsid w:val="003813B4"/>
  </w:style>
  <w:style w:type="paragraph" w:styleId="Piedepgina">
    <w:name w:val="footer"/>
    <w:basedOn w:val="Normal"/>
    <w:link w:val="PiedepginaCar"/>
    <w:uiPriority w:val="99"/>
    <w:unhideWhenUsed/>
    <w:rsid w:val="003813B4"/>
    <w:pPr>
      <w:tabs>
        <w:tab w:val="center" w:pos="4252"/>
        <w:tab w:val="right" w:pos="8504"/>
      </w:tabs>
    </w:pPr>
  </w:style>
  <w:style w:type="character" w:customStyle="1" w:styleId="PiedepginaCar">
    <w:name w:val="Pie de página Car"/>
    <w:basedOn w:val="Fuentedeprrafopredeter"/>
    <w:link w:val="Piedepgina"/>
    <w:uiPriority w:val="99"/>
    <w:rsid w:val="003813B4"/>
  </w:style>
  <w:style w:type="character" w:styleId="Hipervnculo">
    <w:name w:val="Hyperlink"/>
    <w:basedOn w:val="Fuentedeprrafopredeter"/>
    <w:uiPriority w:val="99"/>
    <w:unhideWhenUsed/>
    <w:rsid w:val="00BE0A94"/>
    <w:rPr>
      <w:color w:val="0000FF" w:themeColor="hyperlink"/>
      <w:u w:val="single"/>
    </w:rPr>
  </w:style>
  <w:style w:type="character" w:styleId="Mencinsinresolver">
    <w:name w:val="Unresolved Mention"/>
    <w:basedOn w:val="Fuentedeprrafopredeter"/>
    <w:uiPriority w:val="99"/>
    <w:semiHidden/>
    <w:unhideWhenUsed/>
    <w:rsid w:val="00BE0A94"/>
    <w:rPr>
      <w:color w:val="605E5C"/>
      <w:shd w:val="clear" w:color="auto" w:fill="E1DFDD"/>
    </w:rPr>
  </w:style>
  <w:style w:type="paragraph" w:styleId="NormalWeb">
    <w:name w:val="Normal (Web)"/>
    <w:basedOn w:val="Normal"/>
    <w:uiPriority w:val="99"/>
    <w:unhideWhenUsed/>
    <w:rsid w:val="00433476"/>
    <w:pPr>
      <w:spacing w:before="100" w:beforeAutospacing="1" w:after="100" w:afterAutospacing="1"/>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B0AB2"/>
    <w:rPr>
      <w:b/>
      <w:bCs/>
    </w:rPr>
  </w:style>
  <w:style w:type="character" w:customStyle="1" w:styleId="fontstyle01">
    <w:name w:val="fontstyle01"/>
    <w:basedOn w:val="Fuentedeprrafopredeter"/>
    <w:rsid w:val="00D6744D"/>
    <w:rPr>
      <w:rFonts w:ascii="ArialMT" w:hAnsi="ArialMT" w:hint="default"/>
      <w:b w:val="0"/>
      <w:bCs w:val="0"/>
      <w:i w:val="0"/>
      <w:iCs w:val="0"/>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8553AD"/>
    <w:rPr>
      <w:b/>
      <w:bCs/>
    </w:rPr>
  </w:style>
  <w:style w:type="character" w:customStyle="1" w:styleId="AsuntodelcomentarioCar">
    <w:name w:val="Asunto del comentario Car"/>
    <w:basedOn w:val="TextocomentarioCar"/>
    <w:link w:val="Asuntodelcomentario"/>
    <w:uiPriority w:val="99"/>
    <w:semiHidden/>
    <w:rsid w:val="008553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6057">
      <w:bodyDiv w:val="1"/>
      <w:marLeft w:val="0"/>
      <w:marRight w:val="0"/>
      <w:marTop w:val="0"/>
      <w:marBottom w:val="0"/>
      <w:divBdr>
        <w:top w:val="none" w:sz="0" w:space="0" w:color="auto"/>
        <w:left w:val="none" w:sz="0" w:space="0" w:color="auto"/>
        <w:bottom w:val="none" w:sz="0" w:space="0" w:color="auto"/>
        <w:right w:val="none" w:sz="0" w:space="0" w:color="auto"/>
      </w:divBdr>
    </w:div>
    <w:div w:id="279462176">
      <w:bodyDiv w:val="1"/>
      <w:marLeft w:val="0"/>
      <w:marRight w:val="0"/>
      <w:marTop w:val="0"/>
      <w:marBottom w:val="0"/>
      <w:divBdr>
        <w:top w:val="none" w:sz="0" w:space="0" w:color="auto"/>
        <w:left w:val="none" w:sz="0" w:space="0" w:color="auto"/>
        <w:bottom w:val="none" w:sz="0" w:space="0" w:color="auto"/>
        <w:right w:val="none" w:sz="0" w:space="0" w:color="auto"/>
      </w:divBdr>
    </w:div>
    <w:div w:id="902713322">
      <w:bodyDiv w:val="1"/>
      <w:marLeft w:val="0"/>
      <w:marRight w:val="0"/>
      <w:marTop w:val="0"/>
      <w:marBottom w:val="0"/>
      <w:divBdr>
        <w:top w:val="none" w:sz="0" w:space="0" w:color="auto"/>
        <w:left w:val="none" w:sz="0" w:space="0" w:color="auto"/>
        <w:bottom w:val="none" w:sz="0" w:space="0" w:color="auto"/>
        <w:right w:val="none" w:sz="0" w:space="0" w:color="auto"/>
      </w:divBdr>
    </w:div>
    <w:div w:id="933325090">
      <w:bodyDiv w:val="1"/>
      <w:marLeft w:val="0"/>
      <w:marRight w:val="0"/>
      <w:marTop w:val="0"/>
      <w:marBottom w:val="0"/>
      <w:divBdr>
        <w:top w:val="none" w:sz="0" w:space="0" w:color="auto"/>
        <w:left w:val="none" w:sz="0" w:space="0" w:color="auto"/>
        <w:bottom w:val="none" w:sz="0" w:space="0" w:color="auto"/>
        <w:right w:val="none" w:sz="0" w:space="0" w:color="auto"/>
      </w:divBdr>
    </w:div>
    <w:div w:id="1076901257">
      <w:bodyDiv w:val="1"/>
      <w:marLeft w:val="0"/>
      <w:marRight w:val="0"/>
      <w:marTop w:val="0"/>
      <w:marBottom w:val="0"/>
      <w:divBdr>
        <w:top w:val="none" w:sz="0" w:space="0" w:color="auto"/>
        <w:left w:val="none" w:sz="0" w:space="0" w:color="auto"/>
        <w:bottom w:val="none" w:sz="0" w:space="0" w:color="auto"/>
        <w:right w:val="none" w:sz="0" w:space="0" w:color="auto"/>
      </w:divBdr>
    </w:div>
    <w:div w:id="1078400505">
      <w:bodyDiv w:val="1"/>
      <w:marLeft w:val="0"/>
      <w:marRight w:val="0"/>
      <w:marTop w:val="0"/>
      <w:marBottom w:val="0"/>
      <w:divBdr>
        <w:top w:val="none" w:sz="0" w:space="0" w:color="auto"/>
        <w:left w:val="none" w:sz="0" w:space="0" w:color="auto"/>
        <w:bottom w:val="none" w:sz="0" w:space="0" w:color="auto"/>
        <w:right w:val="none" w:sz="0" w:space="0" w:color="auto"/>
      </w:divBdr>
    </w:div>
    <w:div w:id="1080370709">
      <w:bodyDiv w:val="1"/>
      <w:marLeft w:val="0"/>
      <w:marRight w:val="0"/>
      <w:marTop w:val="0"/>
      <w:marBottom w:val="0"/>
      <w:divBdr>
        <w:top w:val="none" w:sz="0" w:space="0" w:color="auto"/>
        <w:left w:val="none" w:sz="0" w:space="0" w:color="auto"/>
        <w:bottom w:val="none" w:sz="0" w:space="0" w:color="auto"/>
        <w:right w:val="none" w:sz="0" w:space="0" w:color="auto"/>
      </w:divBdr>
    </w:div>
    <w:div w:id="1122577774">
      <w:bodyDiv w:val="1"/>
      <w:marLeft w:val="0"/>
      <w:marRight w:val="0"/>
      <w:marTop w:val="0"/>
      <w:marBottom w:val="0"/>
      <w:divBdr>
        <w:top w:val="none" w:sz="0" w:space="0" w:color="auto"/>
        <w:left w:val="none" w:sz="0" w:space="0" w:color="auto"/>
        <w:bottom w:val="none" w:sz="0" w:space="0" w:color="auto"/>
        <w:right w:val="none" w:sz="0" w:space="0" w:color="auto"/>
      </w:divBdr>
    </w:div>
    <w:div w:id="1183862041">
      <w:bodyDiv w:val="1"/>
      <w:marLeft w:val="0"/>
      <w:marRight w:val="0"/>
      <w:marTop w:val="0"/>
      <w:marBottom w:val="0"/>
      <w:divBdr>
        <w:top w:val="none" w:sz="0" w:space="0" w:color="auto"/>
        <w:left w:val="none" w:sz="0" w:space="0" w:color="auto"/>
        <w:bottom w:val="none" w:sz="0" w:space="0" w:color="auto"/>
        <w:right w:val="none" w:sz="0" w:space="0" w:color="auto"/>
      </w:divBdr>
    </w:div>
    <w:div w:id="1759907759">
      <w:bodyDiv w:val="1"/>
      <w:marLeft w:val="0"/>
      <w:marRight w:val="0"/>
      <w:marTop w:val="0"/>
      <w:marBottom w:val="0"/>
      <w:divBdr>
        <w:top w:val="none" w:sz="0" w:space="0" w:color="auto"/>
        <w:left w:val="none" w:sz="0" w:space="0" w:color="auto"/>
        <w:bottom w:val="none" w:sz="0" w:space="0" w:color="auto"/>
        <w:right w:val="none" w:sz="0" w:space="0" w:color="auto"/>
      </w:divBdr>
    </w:div>
    <w:div w:id="2031879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movingforum.com" TargetMode="External"/><Relationship Id="rId13" Type="http://schemas.openxmlformats.org/officeDocument/2006/relationships/hyperlink" Target="mailto:m.portocarrero@romanrm.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eencitiesmalaga.com" TargetMode="External"/><Relationship Id="rId12" Type="http://schemas.openxmlformats.org/officeDocument/2006/relationships/hyperlink" Target="mailto:l.lazaro@romanrm.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showcase/foro-greencities" TargetMode="External"/><Relationship Id="rId5" Type="http://schemas.openxmlformats.org/officeDocument/2006/relationships/footnotes" Target="footnotes.xml"/><Relationship Id="rId15" Type="http://schemas.openxmlformats.org/officeDocument/2006/relationships/hyperlink" Target="http://www.fycma.com" TargetMode="External"/><Relationship Id="rId10" Type="http://schemas.openxmlformats.org/officeDocument/2006/relationships/hyperlink" Target="https://twitter.com/forogreencit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forogreencities" TargetMode="External"/><Relationship Id="rId14" Type="http://schemas.openxmlformats.org/officeDocument/2006/relationships/hyperlink" Target="http://www.fycma.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800</Words>
  <Characters>4402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Benítez</dc:creator>
  <cp:lastModifiedBy>Laura Lázaro</cp:lastModifiedBy>
  <cp:revision>10</cp:revision>
  <cp:lastPrinted>2019-02-12T16:00:00Z</cp:lastPrinted>
  <dcterms:created xsi:type="dcterms:W3CDTF">2021-07-22T06:39:00Z</dcterms:created>
  <dcterms:modified xsi:type="dcterms:W3CDTF">2021-09-07T07:58:00Z</dcterms:modified>
</cp:coreProperties>
</file>