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83" w:rsidRPr="00F80B6B" w:rsidRDefault="00807D83" w:rsidP="00F80B6B">
      <w:pPr>
        <w:ind w:right="-548"/>
        <w:jc w:val="both"/>
        <w:rPr>
          <w:b/>
        </w:rPr>
      </w:pPr>
    </w:p>
    <w:p w:rsidR="009C35FA" w:rsidRPr="00F80B6B" w:rsidRDefault="0058558F" w:rsidP="00F80B6B">
      <w:pPr>
        <w:shd w:val="clear" w:color="auto" w:fill="FFFFFF"/>
        <w:spacing w:line="276" w:lineRule="auto"/>
        <w:ind w:right="-548"/>
        <w:jc w:val="both"/>
        <w:textAlignment w:val="baseline"/>
        <w:outlineLvl w:val="1"/>
        <w:rPr>
          <w:rFonts w:eastAsiaTheme="minorHAnsi"/>
          <w:b/>
          <w:sz w:val="28"/>
          <w:szCs w:val="28"/>
          <w:lang w:eastAsia="en-US"/>
        </w:rPr>
      </w:pPr>
      <w:r w:rsidRPr="00F80B6B">
        <w:rPr>
          <w:rFonts w:eastAsiaTheme="minorHAnsi"/>
          <w:b/>
          <w:sz w:val="28"/>
          <w:szCs w:val="28"/>
          <w:lang w:eastAsia="en-US"/>
        </w:rPr>
        <w:t xml:space="preserve">BSA y AMETIC </w:t>
      </w:r>
      <w:r w:rsidR="00BF5290" w:rsidRPr="00F80B6B">
        <w:rPr>
          <w:rFonts w:eastAsiaTheme="minorHAnsi"/>
          <w:b/>
          <w:sz w:val="28"/>
          <w:szCs w:val="28"/>
          <w:lang w:eastAsia="en-US"/>
        </w:rPr>
        <w:t>re</w:t>
      </w:r>
      <w:r w:rsidR="008E375E" w:rsidRPr="00F80B6B">
        <w:rPr>
          <w:rFonts w:eastAsiaTheme="minorHAnsi"/>
          <w:b/>
          <w:sz w:val="28"/>
          <w:szCs w:val="28"/>
          <w:lang w:eastAsia="en-US"/>
        </w:rPr>
        <w:t>nuevan</w:t>
      </w:r>
      <w:r w:rsidR="00095A07" w:rsidRPr="00F80B6B">
        <w:rPr>
          <w:rFonts w:eastAsiaTheme="minorHAnsi"/>
          <w:b/>
          <w:sz w:val="28"/>
          <w:szCs w:val="28"/>
          <w:lang w:eastAsia="en-US"/>
        </w:rPr>
        <w:t xml:space="preserve"> su acuerdo</w:t>
      </w:r>
      <w:r w:rsidR="00383F79" w:rsidRPr="00F80B6B">
        <w:rPr>
          <w:rFonts w:eastAsiaTheme="minorHAnsi"/>
          <w:b/>
          <w:sz w:val="28"/>
          <w:szCs w:val="28"/>
          <w:lang w:eastAsia="en-US"/>
        </w:rPr>
        <w:t xml:space="preserve"> con el Ministerio de Energía, Turismo y Agenda Digital </w:t>
      </w:r>
      <w:r w:rsidR="00095A07" w:rsidRPr="00F80B6B">
        <w:rPr>
          <w:rFonts w:eastAsiaTheme="minorHAnsi"/>
          <w:b/>
          <w:sz w:val="28"/>
          <w:szCs w:val="28"/>
          <w:lang w:eastAsia="en-US"/>
        </w:rPr>
        <w:t xml:space="preserve">para </w:t>
      </w:r>
      <w:r w:rsidR="00BF5290" w:rsidRPr="00F80B6B">
        <w:rPr>
          <w:rFonts w:eastAsiaTheme="minorHAnsi"/>
          <w:b/>
          <w:sz w:val="28"/>
          <w:szCs w:val="28"/>
          <w:lang w:eastAsia="en-US"/>
        </w:rPr>
        <w:t xml:space="preserve">promover el uso de </w:t>
      </w:r>
      <w:r w:rsidR="009C35FA" w:rsidRPr="00F80B6B">
        <w:rPr>
          <w:rFonts w:eastAsiaTheme="minorHAnsi"/>
          <w:b/>
          <w:sz w:val="28"/>
          <w:szCs w:val="28"/>
          <w:lang w:eastAsia="en-US"/>
        </w:rPr>
        <w:t>software legal</w:t>
      </w:r>
      <w:r w:rsidR="00BF5290" w:rsidRPr="00F80B6B">
        <w:rPr>
          <w:rFonts w:eastAsiaTheme="minorHAnsi"/>
          <w:b/>
          <w:sz w:val="28"/>
          <w:szCs w:val="28"/>
          <w:lang w:eastAsia="en-US"/>
        </w:rPr>
        <w:t xml:space="preserve"> en las empresas</w:t>
      </w:r>
      <w:r w:rsidR="00383F79" w:rsidRPr="00F80B6B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9C35FA" w:rsidRPr="00F80B6B" w:rsidRDefault="009C35FA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 w:val="28"/>
          <w:szCs w:val="28"/>
        </w:rPr>
      </w:pPr>
    </w:p>
    <w:p w:rsidR="00095A07" w:rsidRPr="00F80B6B" w:rsidRDefault="00095A07" w:rsidP="00F80B6B">
      <w:pPr>
        <w:pStyle w:val="Prrafodelista"/>
        <w:numPr>
          <w:ilvl w:val="0"/>
          <w:numId w:val="10"/>
        </w:numPr>
        <w:shd w:val="clear" w:color="auto" w:fill="FFFFFF"/>
        <w:spacing w:line="300" w:lineRule="atLeast"/>
        <w:ind w:left="851" w:right="-548"/>
        <w:jc w:val="both"/>
        <w:textAlignment w:val="baseline"/>
        <w:outlineLvl w:val="1"/>
        <w:rPr>
          <w:b/>
          <w:i/>
          <w:szCs w:val="22"/>
        </w:rPr>
      </w:pPr>
      <w:r w:rsidRPr="00F80B6B">
        <w:rPr>
          <w:b/>
          <w:i/>
          <w:szCs w:val="22"/>
        </w:rPr>
        <w:t>Las entidades dan continuidad así al convenio de colaboración suscrito en 2015</w:t>
      </w:r>
      <w:r w:rsidR="0058558F" w:rsidRPr="00F80B6B">
        <w:rPr>
          <w:b/>
          <w:i/>
          <w:szCs w:val="22"/>
        </w:rPr>
        <w:t xml:space="preserve"> con el foco en promover el respeto a la Propiedad Intelectual de software</w:t>
      </w:r>
      <w:r w:rsidRPr="00F80B6B">
        <w:rPr>
          <w:b/>
          <w:i/>
          <w:szCs w:val="22"/>
        </w:rPr>
        <w:t>, ampliando su alcance hasta 2021</w:t>
      </w:r>
    </w:p>
    <w:p w:rsidR="00393157" w:rsidRPr="00F80B6B" w:rsidRDefault="00393157" w:rsidP="00F80B6B">
      <w:pPr>
        <w:pStyle w:val="Prrafodelista"/>
        <w:shd w:val="clear" w:color="auto" w:fill="FFFFFF"/>
        <w:spacing w:line="300" w:lineRule="atLeast"/>
        <w:ind w:left="851" w:right="-548"/>
        <w:jc w:val="both"/>
        <w:textAlignment w:val="baseline"/>
        <w:outlineLvl w:val="1"/>
        <w:rPr>
          <w:b/>
          <w:i/>
          <w:szCs w:val="22"/>
        </w:rPr>
      </w:pPr>
    </w:p>
    <w:p w:rsidR="00095A07" w:rsidRPr="00F80B6B" w:rsidRDefault="00393157" w:rsidP="00F80B6B">
      <w:pPr>
        <w:pStyle w:val="Prrafodelista"/>
        <w:numPr>
          <w:ilvl w:val="0"/>
          <w:numId w:val="10"/>
        </w:numPr>
        <w:shd w:val="clear" w:color="auto" w:fill="FFFFFF"/>
        <w:spacing w:line="300" w:lineRule="atLeast"/>
        <w:ind w:left="851" w:right="-548"/>
        <w:jc w:val="both"/>
        <w:textAlignment w:val="baseline"/>
        <w:outlineLvl w:val="1"/>
        <w:rPr>
          <w:b/>
          <w:i/>
          <w:szCs w:val="22"/>
        </w:rPr>
      </w:pPr>
      <w:r w:rsidRPr="00F80B6B">
        <w:rPr>
          <w:b/>
          <w:i/>
          <w:szCs w:val="22"/>
        </w:rPr>
        <w:t>Desde la puesta en marcha de la iniciativa</w:t>
      </w:r>
      <w:r w:rsidR="00DD6972" w:rsidRPr="00F80B6B">
        <w:rPr>
          <w:b/>
          <w:i/>
          <w:szCs w:val="22"/>
        </w:rPr>
        <w:t xml:space="preserve"> ‘Software legal, valor seguro’</w:t>
      </w:r>
      <w:r w:rsidRPr="00F80B6B">
        <w:rPr>
          <w:b/>
          <w:i/>
          <w:szCs w:val="22"/>
        </w:rPr>
        <w:t xml:space="preserve">, organizaciones como CEOE, CEPYME o ASCOM se han </w:t>
      </w:r>
      <w:r w:rsidR="00BF5290" w:rsidRPr="00F80B6B">
        <w:rPr>
          <w:b/>
          <w:i/>
          <w:szCs w:val="22"/>
        </w:rPr>
        <w:t xml:space="preserve">sumado a la misma </w:t>
      </w:r>
      <w:r w:rsidRPr="00F80B6B">
        <w:rPr>
          <w:b/>
          <w:i/>
          <w:szCs w:val="22"/>
        </w:rPr>
        <w:t xml:space="preserve">para impulsar la sensibilización respecto al uso </w:t>
      </w:r>
      <w:r w:rsidR="00BF5290" w:rsidRPr="00F80B6B">
        <w:rPr>
          <w:b/>
          <w:i/>
          <w:szCs w:val="22"/>
        </w:rPr>
        <w:t>eficiente y legal</w:t>
      </w:r>
      <w:r w:rsidRPr="00F80B6B">
        <w:rPr>
          <w:b/>
          <w:i/>
          <w:szCs w:val="22"/>
        </w:rPr>
        <w:t xml:space="preserve"> del software</w:t>
      </w:r>
      <w:r w:rsidR="008E375E" w:rsidRPr="00F80B6B">
        <w:rPr>
          <w:b/>
          <w:i/>
          <w:szCs w:val="22"/>
        </w:rPr>
        <w:t xml:space="preserve"> </w:t>
      </w:r>
    </w:p>
    <w:p w:rsidR="00095A07" w:rsidRPr="00F80B6B" w:rsidRDefault="00095A0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b/>
          <w:i/>
          <w:szCs w:val="22"/>
        </w:rPr>
      </w:pPr>
    </w:p>
    <w:p w:rsidR="00095A07" w:rsidRPr="00F80B6B" w:rsidRDefault="00A74FD6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  <w:r w:rsidRPr="00F80B6B">
        <w:rPr>
          <w:b/>
          <w:szCs w:val="22"/>
        </w:rPr>
        <w:t xml:space="preserve">Madrid, </w:t>
      </w:r>
      <w:r w:rsidR="00F156FC" w:rsidRPr="00F80B6B">
        <w:rPr>
          <w:b/>
          <w:szCs w:val="22"/>
        </w:rPr>
        <w:t>8</w:t>
      </w:r>
      <w:r w:rsidR="007C272E" w:rsidRPr="00F80B6B">
        <w:rPr>
          <w:b/>
          <w:szCs w:val="22"/>
        </w:rPr>
        <w:t xml:space="preserve"> de mayo</w:t>
      </w:r>
      <w:r w:rsidR="00661AE5" w:rsidRPr="00F80B6B">
        <w:rPr>
          <w:b/>
          <w:szCs w:val="22"/>
        </w:rPr>
        <w:t xml:space="preserve"> de 2018- </w:t>
      </w:r>
      <w:hyperlink r:id="rId7" w:history="1">
        <w:r w:rsidR="00661AE5" w:rsidRPr="00F80B6B">
          <w:rPr>
            <w:rStyle w:val="Hipervnculo"/>
            <w:color w:val="auto"/>
            <w:szCs w:val="22"/>
          </w:rPr>
          <w:t>BSA | The Software Alliance</w:t>
        </w:r>
      </w:hyperlink>
      <w:r w:rsidR="00661AE5" w:rsidRPr="00F80B6B">
        <w:rPr>
          <w:szCs w:val="22"/>
        </w:rPr>
        <w:t xml:space="preserve"> -el principal representante de la industria global de software,</w:t>
      </w:r>
      <w:r w:rsidR="00661AE5" w:rsidRPr="00F80B6B">
        <w:t xml:space="preserve"> </w:t>
      </w:r>
      <w:r w:rsidR="0058558F" w:rsidRPr="00F80B6B">
        <w:t xml:space="preserve">y </w:t>
      </w:r>
      <w:hyperlink r:id="rId8" w:history="1">
        <w:r w:rsidR="00661AE5" w:rsidRPr="00F80B6B">
          <w:rPr>
            <w:rStyle w:val="Hipervnculo"/>
            <w:color w:val="auto"/>
            <w:szCs w:val="22"/>
          </w:rPr>
          <w:t>AMETIC</w:t>
        </w:r>
      </w:hyperlink>
      <w:r w:rsidR="00661AE5" w:rsidRPr="00F80B6B">
        <w:rPr>
          <w:szCs w:val="22"/>
        </w:rPr>
        <w:t xml:space="preserve"> –la patronal del sector tecnológico y digital español– </w:t>
      </w:r>
      <w:r w:rsidR="0058558F" w:rsidRPr="00F80B6B">
        <w:rPr>
          <w:szCs w:val="22"/>
        </w:rPr>
        <w:t>han</w:t>
      </w:r>
      <w:r w:rsidR="00661AE5" w:rsidRPr="00F80B6B">
        <w:rPr>
          <w:szCs w:val="22"/>
        </w:rPr>
        <w:t xml:space="preserve"> renovado su acuerdo de colaboración</w:t>
      </w:r>
      <w:r w:rsidR="00383F79" w:rsidRPr="00F80B6B">
        <w:rPr>
          <w:szCs w:val="22"/>
        </w:rPr>
        <w:t xml:space="preserve"> con el Ministerio de Energía, Turismo y Agenda Digital,  </w:t>
      </w:r>
      <w:r w:rsidR="00661AE5" w:rsidRPr="00F80B6B">
        <w:rPr>
          <w:szCs w:val="22"/>
        </w:rPr>
        <w:t>para</w:t>
      </w:r>
      <w:r w:rsidR="00091EA5" w:rsidRPr="00F80B6B">
        <w:rPr>
          <w:szCs w:val="22"/>
        </w:rPr>
        <w:t xml:space="preserve"> combatir el uso de software no licenciado, promover el respeto a la propiedad intelectual del software y</w:t>
      </w:r>
      <w:r w:rsidR="00661AE5" w:rsidRPr="00F80B6B">
        <w:rPr>
          <w:szCs w:val="22"/>
        </w:rPr>
        <w:t xml:space="preserve"> concienciar a las empresas españolas </w:t>
      </w:r>
      <w:r w:rsidR="00091EA5" w:rsidRPr="00F80B6B">
        <w:rPr>
          <w:szCs w:val="22"/>
        </w:rPr>
        <w:t>de las ventajas de una</w:t>
      </w:r>
      <w:r w:rsidR="00393157" w:rsidRPr="00F80B6B">
        <w:rPr>
          <w:szCs w:val="22"/>
        </w:rPr>
        <w:t xml:space="preserve"> </w:t>
      </w:r>
      <w:r w:rsidR="00091EA5" w:rsidRPr="00F80B6B">
        <w:rPr>
          <w:szCs w:val="22"/>
        </w:rPr>
        <w:t>utilización eficiente y legal de programas informáticos.</w:t>
      </w:r>
    </w:p>
    <w:p w:rsidR="0039315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</w:p>
    <w:p w:rsidR="00091EA5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  <w:r w:rsidRPr="00F80B6B">
        <w:rPr>
          <w:szCs w:val="22"/>
        </w:rPr>
        <w:t xml:space="preserve">De esta manera, se da continuidad al </w:t>
      </w:r>
      <w:hyperlink r:id="rId9" w:history="1">
        <w:r w:rsidRPr="00F80B6B">
          <w:rPr>
            <w:rStyle w:val="Hipervnculo"/>
            <w:color w:val="auto"/>
            <w:szCs w:val="22"/>
          </w:rPr>
          <w:t>convenio de colaboración inicial suscrito en 2015</w:t>
        </w:r>
      </w:hyperlink>
      <w:r w:rsidRPr="00F80B6B">
        <w:rPr>
          <w:szCs w:val="22"/>
        </w:rPr>
        <w:t>, ampliando su alcance otros tres años más,  hasta 2021</w:t>
      </w:r>
      <w:r w:rsidR="00091EA5" w:rsidRPr="00F80B6B">
        <w:rPr>
          <w:szCs w:val="22"/>
        </w:rPr>
        <w:t>, y reforzando la colaboración con organizaciones profesionales y empresariales para impulsar el papel del software como facilitador del desarrollo de la sociedad de la información y el conocimiento en general y de la competitividad y productividad de las empresas, especialmente las Pymes.</w:t>
      </w:r>
    </w:p>
    <w:p w:rsidR="00091EA5" w:rsidRPr="00F80B6B" w:rsidRDefault="00091EA5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</w:p>
    <w:p w:rsidR="00393157" w:rsidRPr="00F80B6B" w:rsidRDefault="006A2F4B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  <w:r w:rsidRPr="00F80B6B">
        <w:rPr>
          <w:b/>
          <w:szCs w:val="22"/>
        </w:rPr>
        <w:t>José María Lasalle</w:t>
      </w:r>
      <w:r w:rsidR="00393157" w:rsidRPr="00F80B6B">
        <w:rPr>
          <w:szCs w:val="22"/>
        </w:rPr>
        <w:t xml:space="preserve">, secretario de </w:t>
      </w:r>
      <w:r w:rsidR="00DD6972" w:rsidRPr="00F80B6B">
        <w:rPr>
          <w:szCs w:val="22"/>
        </w:rPr>
        <w:t xml:space="preserve">Estado </w:t>
      </w:r>
      <w:r w:rsidR="00393157" w:rsidRPr="00F80B6B">
        <w:rPr>
          <w:szCs w:val="22"/>
        </w:rPr>
        <w:t>para la Sociedad de la Informació</w:t>
      </w:r>
      <w:r w:rsidR="00DD6972" w:rsidRPr="00F80B6B">
        <w:rPr>
          <w:szCs w:val="22"/>
        </w:rPr>
        <w:t>n y la Agenda Digital</w:t>
      </w:r>
      <w:r w:rsidR="00393157" w:rsidRPr="00F80B6B">
        <w:rPr>
          <w:szCs w:val="22"/>
        </w:rPr>
        <w:t xml:space="preserve">, </w:t>
      </w:r>
      <w:r w:rsidR="00393157" w:rsidRPr="00F80B6B">
        <w:rPr>
          <w:b/>
          <w:szCs w:val="22"/>
        </w:rPr>
        <w:t xml:space="preserve">Sarah </w:t>
      </w:r>
      <w:proofErr w:type="spellStart"/>
      <w:r w:rsidR="00393157" w:rsidRPr="00F80B6B">
        <w:rPr>
          <w:b/>
          <w:szCs w:val="22"/>
        </w:rPr>
        <w:t>Coombes</w:t>
      </w:r>
      <w:proofErr w:type="spellEnd"/>
      <w:r w:rsidR="00393157" w:rsidRPr="00F80B6B">
        <w:rPr>
          <w:szCs w:val="22"/>
        </w:rPr>
        <w:t xml:space="preserve">, </w:t>
      </w:r>
      <w:proofErr w:type="spellStart"/>
      <w:r w:rsidR="00393157" w:rsidRPr="00F80B6B">
        <w:rPr>
          <w:szCs w:val="22"/>
        </w:rPr>
        <w:t>Managing</w:t>
      </w:r>
      <w:proofErr w:type="spellEnd"/>
      <w:r w:rsidR="00393157" w:rsidRPr="00F80B6B">
        <w:rPr>
          <w:szCs w:val="22"/>
        </w:rPr>
        <w:t xml:space="preserve"> Director para Europa, Oriente Medio y África de BSA The Software </w:t>
      </w:r>
      <w:proofErr w:type="gramStart"/>
      <w:r w:rsidR="00393157" w:rsidRPr="00F80B6B">
        <w:rPr>
          <w:szCs w:val="22"/>
        </w:rPr>
        <w:t>Alliance  y</w:t>
      </w:r>
      <w:proofErr w:type="gramEnd"/>
      <w:r w:rsidR="00393157" w:rsidRPr="00F80B6B">
        <w:rPr>
          <w:szCs w:val="22"/>
        </w:rPr>
        <w:t xml:space="preserve"> </w:t>
      </w:r>
      <w:r w:rsidRPr="00F80B6B">
        <w:rPr>
          <w:b/>
          <w:szCs w:val="22"/>
        </w:rPr>
        <w:t>Pedro Mier</w:t>
      </w:r>
      <w:r w:rsidR="00393157" w:rsidRPr="00F80B6B">
        <w:rPr>
          <w:szCs w:val="22"/>
        </w:rPr>
        <w:t xml:space="preserve">, presidente de la Asociación Multisectorial de Empresas de la Electrónica, las Tecnologías de la Información y la Comunicación, de las Telecomunicaciones y de los Contenidos Digitales (AMETIC), han sido los encargados de hacer efectiva la firma del acuerdo. </w:t>
      </w:r>
    </w:p>
    <w:p w:rsidR="0039315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</w:p>
    <w:p w:rsidR="000E1190" w:rsidRPr="00F80B6B" w:rsidRDefault="000E1190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  <w:r w:rsidRPr="00F80B6B">
        <w:rPr>
          <w:szCs w:val="22"/>
        </w:rPr>
        <w:t>En palabras de Pedro Mier, “AMETIC se siente satisfecha por la renovación de este acuerdo. Consideramos que es muy importante la colaboración entre los principales agentes que representamos y promovemos el desarrollo y uso del software como uno de los principales activos que favorecen e impulsan una industria sin riesgos. El software está presente en todas las empresas, es un motor de actividad para cualquier sector de actividad y una herramienta fundamental para aumentar su productividad y competitividad”</w:t>
      </w:r>
    </w:p>
    <w:p w:rsidR="0039315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</w:p>
    <w:p w:rsidR="0039315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  <w:r w:rsidRPr="00F80B6B">
        <w:rPr>
          <w:szCs w:val="22"/>
        </w:rPr>
        <w:t>Para</w:t>
      </w:r>
      <w:r w:rsidR="006A2F4B" w:rsidRPr="00F80B6B">
        <w:rPr>
          <w:szCs w:val="22"/>
        </w:rPr>
        <w:t xml:space="preserve"> Sara</w:t>
      </w:r>
      <w:r w:rsidRPr="00F80B6B">
        <w:rPr>
          <w:szCs w:val="22"/>
        </w:rPr>
        <w:t xml:space="preserve"> </w:t>
      </w:r>
      <w:proofErr w:type="spellStart"/>
      <w:r w:rsidRPr="00F80B6B">
        <w:rPr>
          <w:szCs w:val="22"/>
        </w:rPr>
        <w:t>Coombes</w:t>
      </w:r>
      <w:proofErr w:type="spellEnd"/>
      <w:r w:rsidRPr="00F80B6B">
        <w:rPr>
          <w:szCs w:val="22"/>
        </w:rPr>
        <w:t xml:space="preserve"> “</w:t>
      </w:r>
      <w:r w:rsidR="006A2F4B" w:rsidRPr="00F80B6B">
        <w:rPr>
          <w:szCs w:val="22"/>
        </w:rPr>
        <w:t>la ampliación de est</w:t>
      </w:r>
      <w:r w:rsidR="00F80B6B">
        <w:rPr>
          <w:szCs w:val="22"/>
        </w:rPr>
        <w:t>e</w:t>
      </w:r>
      <w:r w:rsidR="006A2F4B" w:rsidRPr="00F80B6B">
        <w:rPr>
          <w:szCs w:val="22"/>
        </w:rPr>
        <w:t xml:space="preserve"> acuerdo refuerza la apuesta conjunta que administración e industria </w:t>
      </w:r>
      <w:r w:rsidR="0058558F" w:rsidRPr="00F80B6B">
        <w:rPr>
          <w:szCs w:val="22"/>
        </w:rPr>
        <w:t>realizamos</w:t>
      </w:r>
      <w:r w:rsidR="006A2F4B" w:rsidRPr="00F80B6B">
        <w:rPr>
          <w:szCs w:val="22"/>
        </w:rPr>
        <w:t xml:space="preserve"> por hacer del software un activo clave para el desarrollo del tejido empresarial y un valor muy importante para la propia economía del país. En estos primeros años hemos realizado avances, ampliando el alcance de la iniciativa con nuevos </w:t>
      </w:r>
      <w:proofErr w:type="spellStart"/>
      <w:r w:rsidR="006A2F4B" w:rsidRPr="00F80B6B">
        <w:rPr>
          <w:szCs w:val="22"/>
        </w:rPr>
        <w:t>stakeholders</w:t>
      </w:r>
      <w:proofErr w:type="spellEnd"/>
      <w:r w:rsidR="006A2F4B" w:rsidRPr="00F80B6B">
        <w:rPr>
          <w:szCs w:val="22"/>
        </w:rPr>
        <w:t xml:space="preserve"> y haciendo que poco a poco el mensaje de las ventajas del uso del software con licencia cale en los empresarios españoles. </w:t>
      </w:r>
      <w:r w:rsidR="0066333F" w:rsidRPr="00F80B6B">
        <w:rPr>
          <w:szCs w:val="22"/>
        </w:rPr>
        <w:t>Queremos seguir trabajando en la misma línea</w:t>
      </w:r>
      <w:r w:rsidR="000E1190" w:rsidRPr="00F80B6B">
        <w:rPr>
          <w:szCs w:val="22"/>
        </w:rPr>
        <w:t xml:space="preserve">, haciendo especial énfasis en cuestiones sensibles, como los riesgos de seguridad cibernética </w:t>
      </w:r>
      <w:r w:rsidR="000E1190" w:rsidRPr="00F80B6B">
        <w:rPr>
          <w:szCs w:val="22"/>
        </w:rPr>
        <w:lastRenderedPageBreak/>
        <w:t>del uso de software sin licencia</w:t>
      </w:r>
      <w:r w:rsidR="0066333F" w:rsidRPr="00F80B6B">
        <w:rPr>
          <w:szCs w:val="22"/>
        </w:rPr>
        <w:t xml:space="preserve">. Confiamos que entre todos </w:t>
      </w:r>
      <w:r w:rsidR="006A2F4B" w:rsidRPr="00F80B6B">
        <w:rPr>
          <w:szCs w:val="22"/>
        </w:rPr>
        <w:t xml:space="preserve">avanzaremos en el cambio de mentalidad”. </w:t>
      </w:r>
    </w:p>
    <w:p w:rsidR="0039315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</w:p>
    <w:p w:rsidR="0039315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b/>
          <w:szCs w:val="22"/>
        </w:rPr>
      </w:pPr>
      <w:r w:rsidRPr="00F80B6B">
        <w:rPr>
          <w:b/>
          <w:szCs w:val="22"/>
        </w:rPr>
        <w:t xml:space="preserve">Información </w:t>
      </w:r>
      <w:r w:rsidR="0066333F" w:rsidRPr="00F80B6B">
        <w:rPr>
          <w:b/>
          <w:szCs w:val="22"/>
        </w:rPr>
        <w:t>didáctica y útil</w:t>
      </w:r>
      <w:r w:rsidRPr="00F80B6B">
        <w:rPr>
          <w:b/>
          <w:szCs w:val="22"/>
        </w:rPr>
        <w:t xml:space="preserve"> para empresas y empresarios</w:t>
      </w:r>
    </w:p>
    <w:p w:rsidR="0039315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 w:val="28"/>
          <w:szCs w:val="28"/>
        </w:rPr>
      </w:pPr>
    </w:p>
    <w:p w:rsidR="0039315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  <w:r w:rsidRPr="00F80B6B">
        <w:rPr>
          <w:szCs w:val="22"/>
        </w:rPr>
        <w:t xml:space="preserve">La iniciativa </w:t>
      </w:r>
      <w:r w:rsidR="00DD6972" w:rsidRPr="00F80B6B">
        <w:rPr>
          <w:szCs w:val="22"/>
        </w:rPr>
        <w:t>‘</w:t>
      </w:r>
      <w:hyperlink r:id="rId10" w:history="1">
        <w:r w:rsidRPr="00F80B6B">
          <w:rPr>
            <w:rStyle w:val="Hipervnculo"/>
            <w:color w:val="auto"/>
            <w:szCs w:val="22"/>
          </w:rPr>
          <w:t>Software Legal, Valor Seguro</w:t>
        </w:r>
        <w:r w:rsidR="00DD6972" w:rsidRPr="00F80B6B">
          <w:rPr>
            <w:rStyle w:val="Hipervnculo"/>
            <w:color w:val="auto"/>
            <w:szCs w:val="22"/>
          </w:rPr>
          <w:t>’</w:t>
        </w:r>
      </w:hyperlink>
      <w:r w:rsidRPr="00F80B6B">
        <w:rPr>
          <w:szCs w:val="22"/>
        </w:rPr>
        <w:t>, promueve y proporciona contenidos</w:t>
      </w:r>
      <w:r w:rsidR="00DD6972" w:rsidRPr="00F80B6B">
        <w:rPr>
          <w:szCs w:val="22"/>
        </w:rPr>
        <w:t xml:space="preserve"> didácticos y</w:t>
      </w:r>
      <w:r w:rsidRPr="00F80B6B">
        <w:rPr>
          <w:szCs w:val="22"/>
        </w:rPr>
        <w:t xml:space="preserve"> útile</w:t>
      </w:r>
      <w:r w:rsidR="008E375E" w:rsidRPr="00F80B6B">
        <w:rPr>
          <w:szCs w:val="22"/>
        </w:rPr>
        <w:t>s para empresas, especialmente P</w:t>
      </w:r>
      <w:r w:rsidRPr="00F80B6B">
        <w:rPr>
          <w:szCs w:val="22"/>
        </w:rPr>
        <w:t>ymes, a base de recomendaciones sencillas y precisas sobre los pasos adecuados a seguir para la correcta utilización de programas de ordenador y una gestión eficiente de todos los activos de software que inciden en la operativa y la productividad del negocio</w:t>
      </w:r>
      <w:r w:rsidR="0058558F" w:rsidRPr="00F80B6B">
        <w:rPr>
          <w:szCs w:val="22"/>
        </w:rPr>
        <w:t xml:space="preserve">, así como en los peligros económicos, legales, operativos y de imagen a los que se expone una compañía que no tiene un control sobre su software.   </w:t>
      </w:r>
    </w:p>
    <w:p w:rsidR="0039315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</w:p>
    <w:p w:rsidR="00095A07" w:rsidRPr="00F80B6B" w:rsidRDefault="00393157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  <w:r w:rsidRPr="00F80B6B">
        <w:rPr>
          <w:szCs w:val="22"/>
        </w:rPr>
        <w:t xml:space="preserve">A través de eventos, colaboraciones con entidades profesionales y empresariales y de la web </w:t>
      </w:r>
      <w:hyperlink r:id="rId11" w:history="1">
        <w:r w:rsidR="0066333F" w:rsidRPr="00F80B6B">
          <w:rPr>
            <w:rStyle w:val="Hipervnculo"/>
            <w:color w:val="auto"/>
            <w:szCs w:val="22"/>
          </w:rPr>
          <w:t>www.SoftwareLegalEmpresa.es</w:t>
        </w:r>
      </w:hyperlink>
      <w:r w:rsidRPr="00F80B6B">
        <w:rPr>
          <w:szCs w:val="22"/>
        </w:rPr>
        <w:t>, la iniciativa ofrece videos tutoriales, manuales de buenas prácticas y guías para la gestión del software, de manera que todo tipo de negocio, sea del tamaño que sea, pueda hacer frente a los retos, oportunidades y también riesgos que implica la mayor presencia y relevancia de este activo tecnológico</w:t>
      </w:r>
    </w:p>
    <w:p w:rsidR="0066333F" w:rsidRPr="00F80B6B" w:rsidRDefault="0066333F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Cs w:val="22"/>
        </w:rPr>
      </w:pPr>
    </w:p>
    <w:p w:rsidR="0066333F" w:rsidRPr="00F80B6B" w:rsidRDefault="0066333F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b/>
          <w:szCs w:val="22"/>
        </w:rPr>
      </w:pPr>
      <w:r w:rsidRPr="00F80B6B">
        <w:rPr>
          <w:b/>
          <w:szCs w:val="22"/>
        </w:rPr>
        <w:t>La iniciativa ha ido sumando nuevos apoyos de diferentes ámbitos</w:t>
      </w:r>
    </w:p>
    <w:p w:rsidR="0066333F" w:rsidRPr="00F80B6B" w:rsidRDefault="0066333F" w:rsidP="00F80B6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ind w:right="-548"/>
        <w:jc w:val="both"/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</w:pPr>
      <w:r w:rsidRPr="00F80B6B"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  <w:t xml:space="preserve">La </w:t>
      </w:r>
      <w:r w:rsidR="00DD6972" w:rsidRPr="00F80B6B"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  <w:t xml:space="preserve">campaña </w:t>
      </w:r>
      <w:r w:rsidRPr="00F80B6B"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  <w:t xml:space="preserve">ha ido incorporando entre sus apoyos y colaboradores a diferentes entidades  empresariales </w:t>
      </w:r>
      <w:hyperlink r:id="rId12" w:history="1">
        <w:r w:rsidRPr="00F80B6B">
          <w:rPr>
            <w:rFonts w:eastAsia="Arial Unicode MS"/>
            <w:spacing w:val="1"/>
            <w:kern w:val="16"/>
            <w:szCs w:val="22"/>
            <w:u w:val="single"/>
            <w:bdr w:val="nil"/>
            <w:lang w:eastAsia="en-US"/>
          </w:rPr>
          <w:t>CEOE</w:t>
        </w:r>
      </w:hyperlink>
      <w:r w:rsidRPr="00F80B6B">
        <w:rPr>
          <w:rFonts w:eastAsia="Arial Unicode MS"/>
          <w:spacing w:val="1"/>
          <w:kern w:val="16"/>
          <w:szCs w:val="22"/>
          <w:bdr w:val="nil"/>
          <w:lang w:eastAsia="en-US"/>
        </w:rPr>
        <w:t xml:space="preserve"> y </w:t>
      </w:r>
      <w:hyperlink r:id="rId13" w:history="1">
        <w:r w:rsidRPr="00F80B6B">
          <w:rPr>
            <w:rFonts w:eastAsia="Arial Unicode MS"/>
            <w:spacing w:val="1"/>
            <w:kern w:val="16"/>
            <w:szCs w:val="22"/>
            <w:u w:val="single"/>
            <w:bdr w:val="nil"/>
            <w:lang w:eastAsia="en-US"/>
          </w:rPr>
          <w:t>CEPYME</w:t>
        </w:r>
      </w:hyperlink>
      <w:r w:rsidRPr="00F80B6B"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  <w:t>, la</w:t>
      </w:r>
      <w:r w:rsidRPr="00F80B6B">
        <w:rPr>
          <w:rFonts w:eastAsia="Arial Unicode MS"/>
          <w:spacing w:val="1"/>
          <w:kern w:val="16"/>
          <w:szCs w:val="22"/>
          <w:u w:val="single"/>
          <w:bdr w:val="nil"/>
          <w:lang w:eastAsia="en-US"/>
        </w:rPr>
        <w:t xml:space="preserve"> </w:t>
      </w:r>
      <w:hyperlink r:id="rId14" w:history="1">
        <w:r w:rsidRPr="00F80B6B">
          <w:rPr>
            <w:rFonts w:eastAsia="Arial Unicode MS"/>
            <w:spacing w:val="1"/>
            <w:kern w:val="16"/>
            <w:szCs w:val="22"/>
            <w:u w:val="single"/>
            <w:bdr w:val="nil"/>
            <w:lang w:eastAsia="en-US"/>
          </w:rPr>
          <w:t xml:space="preserve">Asociación Española de </w:t>
        </w:r>
        <w:proofErr w:type="spellStart"/>
        <w:r w:rsidRPr="00F80B6B">
          <w:rPr>
            <w:rFonts w:eastAsia="Arial Unicode MS"/>
            <w:spacing w:val="1"/>
            <w:kern w:val="16"/>
            <w:szCs w:val="22"/>
            <w:u w:val="single"/>
            <w:bdr w:val="nil"/>
            <w:lang w:eastAsia="en-US"/>
          </w:rPr>
          <w:t>Compliance</w:t>
        </w:r>
        <w:proofErr w:type="spellEnd"/>
        <w:r w:rsidRPr="00F80B6B">
          <w:rPr>
            <w:rFonts w:eastAsia="Arial Unicode MS"/>
            <w:spacing w:val="1"/>
            <w:kern w:val="16"/>
            <w:szCs w:val="22"/>
            <w:u w:val="single"/>
            <w:bdr w:val="nil"/>
            <w:lang w:eastAsia="en-US"/>
          </w:rPr>
          <w:t xml:space="preserve"> (ASCOM)</w:t>
        </w:r>
      </w:hyperlink>
      <w:r w:rsidRPr="00F80B6B"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  <w:t xml:space="preserve"> o </w:t>
      </w:r>
      <w:r w:rsidRPr="00F80B6B">
        <w:rPr>
          <w:rFonts w:eastAsia="Arial Unicode MS"/>
          <w:spacing w:val="1"/>
          <w:kern w:val="16"/>
          <w:szCs w:val="22"/>
          <w:bdr w:val="nil"/>
          <w:lang w:eastAsia="en-US"/>
        </w:rPr>
        <w:t>el</w:t>
      </w:r>
      <w:hyperlink r:id="rId15" w:history="1">
        <w:r w:rsidRPr="00F80B6B">
          <w:rPr>
            <w:rFonts w:eastAsiaTheme="minorHAnsi"/>
            <w:szCs w:val="22"/>
            <w:lang w:eastAsia="en-US"/>
          </w:rPr>
          <w:t xml:space="preserve"> </w:t>
        </w:r>
        <w:r w:rsidRPr="00F80B6B">
          <w:rPr>
            <w:rFonts w:eastAsia="Arial Unicode MS"/>
            <w:spacing w:val="1"/>
            <w:kern w:val="16"/>
            <w:szCs w:val="22"/>
            <w:u w:val="single"/>
            <w:bdr w:val="nil"/>
            <w:lang w:eastAsia="en-US"/>
          </w:rPr>
          <w:t>Consejo de Colegios de Ingenieros en Informática (CCII)</w:t>
        </w:r>
        <w:r w:rsidRPr="00F80B6B">
          <w:rPr>
            <w:rFonts w:eastAsia="Arial Unicode MS"/>
            <w:spacing w:val="1"/>
            <w:kern w:val="16"/>
            <w:szCs w:val="22"/>
            <w:bdr w:val="nil"/>
            <w:lang w:eastAsia="en-US"/>
          </w:rPr>
          <w:t xml:space="preserve">. </w:t>
        </w:r>
      </w:hyperlink>
      <w:r w:rsidRPr="00F80B6B"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  <w:t xml:space="preserve">Asimismo, para la elaboración de los distintos materiales informativos también se ha contado con el asesoramiento de expertos de la firma legal </w:t>
      </w:r>
      <w:hyperlink r:id="rId16" w:history="1">
        <w:r w:rsidRPr="00F80B6B">
          <w:rPr>
            <w:rFonts w:eastAsia="Arial Unicode MS"/>
            <w:spacing w:val="1"/>
            <w:kern w:val="16"/>
            <w:szCs w:val="22"/>
            <w:u w:val="single"/>
            <w:bdr w:val="nil"/>
            <w:lang w:eastAsia="en-US"/>
          </w:rPr>
          <w:t>ECIJA</w:t>
        </w:r>
      </w:hyperlink>
      <w:r w:rsidRPr="00F80B6B"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  <w:t xml:space="preserve"> y de </w:t>
      </w:r>
      <w:hyperlink r:id="rId17" w:history="1">
        <w:proofErr w:type="spellStart"/>
        <w:r w:rsidRPr="00F80B6B">
          <w:rPr>
            <w:rFonts w:eastAsia="Arial Unicode MS"/>
            <w:spacing w:val="1"/>
            <w:kern w:val="16"/>
            <w:szCs w:val="22"/>
            <w:u w:val="single" w:color="000000"/>
            <w:bdr w:val="nil"/>
            <w:lang w:eastAsia="en-US"/>
          </w:rPr>
          <w:t>Softcare</w:t>
        </w:r>
        <w:proofErr w:type="spellEnd"/>
      </w:hyperlink>
      <w:r w:rsidRPr="00F80B6B"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  <w:t xml:space="preserve">, consultora especializada en gestión de software. </w:t>
      </w:r>
    </w:p>
    <w:p w:rsidR="00DD6972" w:rsidRPr="00F80B6B" w:rsidRDefault="0066333F" w:rsidP="00F80B6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ind w:right="-548"/>
        <w:jc w:val="both"/>
        <w:rPr>
          <w:u w:color="000000"/>
          <w:lang w:eastAsia="en-US"/>
        </w:rPr>
      </w:pPr>
      <w:r w:rsidRPr="00F80B6B">
        <w:rPr>
          <w:rFonts w:eastAsia="Arial Unicode MS"/>
          <w:spacing w:val="1"/>
          <w:kern w:val="16"/>
          <w:szCs w:val="22"/>
          <w:u w:color="000000"/>
          <w:bdr w:val="nil"/>
          <w:lang w:eastAsia="en-US"/>
        </w:rPr>
        <w:t xml:space="preserve">En el caso de CEPYME, el apoyo ha ido más allá y recientemente han firmado </w:t>
      </w:r>
      <w:r w:rsidRPr="00F80B6B">
        <w:rPr>
          <w:rFonts w:eastAsia="Arial Unicode MS"/>
          <w:spacing w:val="1"/>
          <w:kern w:val="16"/>
          <w:szCs w:val="22"/>
          <w:u w:val="single"/>
          <w:bdr w:val="nil"/>
          <w:lang w:eastAsia="en-US"/>
        </w:rPr>
        <w:t xml:space="preserve">un acuerdo </w:t>
      </w:r>
      <w:r w:rsidR="00576B67" w:rsidRPr="00F80B6B">
        <w:rPr>
          <w:rFonts w:eastAsia="Arial Unicode MS"/>
          <w:spacing w:val="1"/>
          <w:kern w:val="16"/>
          <w:szCs w:val="22"/>
          <w:u w:val="single"/>
          <w:bdr w:val="nil"/>
          <w:lang w:eastAsia="en-US"/>
        </w:rPr>
        <w:t>específico de</w:t>
      </w:r>
      <w:r w:rsidRPr="00F80B6B">
        <w:rPr>
          <w:rFonts w:eastAsia="Arial Unicode MS"/>
          <w:spacing w:val="1"/>
          <w:kern w:val="16"/>
          <w:szCs w:val="22"/>
          <w:u w:val="single"/>
          <w:bdr w:val="nil"/>
          <w:lang w:eastAsia="en-US"/>
        </w:rPr>
        <w:t xml:space="preserve"> colaboración con AMETIC y </w:t>
      </w:r>
      <w:proofErr w:type="gramStart"/>
      <w:r w:rsidRPr="00F80B6B">
        <w:rPr>
          <w:rFonts w:eastAsia="Arial Unicode MS"/>
          <w:spacing w:val="1"/>
          <w:kern w:val="16"/>
          <w:szCs w:val="22"/>
          <w:u w:val="single"/>
          <w:bdr w:val="nil"/>
          <w:lang w:eastAsia="en-US"/>
        </w:rPr>
        <w:t xml:space="preserve">BSA </w:t>
      </w:r>
      <w:r w:rsidR="00576B67" w:rsidRPr="00F80B6B">
        <w:rPr>
          <w:u w:color="000000"/>
          <w:lang w:eastAsia="en-US"/>
        </w:rPr>
        <w:t xml:space="preserve"> para</w:t>
      </w:r>
      <w:proofErr w:type="gramEnd"/>
      <w:r w:rsidR="00576B67" w:rsidRPr="00F80B6B">
        <w:rPr>
          <w:u w:color="000000"/>
          <w:lang w:eastAsia="en-US"/>
        </w:rPr>
        <w:t xml:space="preserve"> llevar a cabo acciones dirigidas pr</w:t>
      </w:r>
      <w:r w:rsidRPr="00F80B6B">
        <w:rPr>
          <w:u w:color="000000"/>
          <w:lang w:eastAsia="en-US"/>
        </w:rPr>
        <w:t>ofesionales, empresarios y direc</w:t>
      </w:r>
      <w:r w:rsidR="00576B67" w:rsidRPr="00F80B6B">
        <w:rPr>
          <w:u w:color="000000"/>
          <w:lang w:eastAsia="en-US"/>
        </w:rPr>
        <w:t>tivos en el que se muestre de forma tangible el</w:t>
      </w:r>
      <w:r w:rsidRPr="00F80B6B">
        <w:rPr>
          <w:u w:color="000000"/>
          <w:lang w:eastAsia="en-US"/>
        </w:rPr>
        <w:t xml:space="preserve"> valor del software, </w:t>
      </w:r>
      <w:r w:rsidR="00576B67" w:rsidRPr="00F80B6B">
        <w:rPr>
          <w:u w:color="000000"/>
          <w:lang w:eastAsia="en-US"/>
        </w:rPr>
        <w:t>la necesidad de respetar la</w:t>
      </w:r>
      <w:r w:rsidRPr="00F80B6B">
        <w:rPr>
          <w:u w:color="000000"/>
          <w:lang w:eastAsia="en-US"/>
        </w:rPr>
        <w:t xml:space="preserve"> propiedad intelectual y </w:t>
      </w:r>
      <w:r w:rsidR="00576B67" w:rsidRPr="00F80B6B">
        <w:rPr>
          <w:u w:color="000000"/>
          <w:lang w:eastAsia="en-US"/>
        </w:rPr>
        <w:t xml:space="preserve">cómo asegurar </w:t>
      </w:r>
      <w:r w:rsidRPr="00F80B6B">
        <w:rPr>
          <w:u w:color="000000"/>
          <w:lang w:eastAsia="en-US"/>
        </w:rPr>
        <w:t>su correcta</w:t>
      </w:r>
      <w:r w:rsidR="00576B67" w:rsidRPr="00F80B6B">
        <w:rPr>
          <w:u w:color="000000"/>
          <w:lang w:eastAsia="en-US"/>
        </w:rPr>
        <w:t xml:space="preserve"> gestión en el entorno empresarial. </w:t>
      </w:r>
    </w:p>
    <w:p w:rsidR="00DD6972" w:rsidRPr="00F80B6B" w:rsidRDefault="00DD6972" w:rsidP="00F80B6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ind w:right="-548"/>
        <w:jc w:val="both"/>
        <w:rPr>
          <w:u w:color="000000"/>
          <w:lang w:eastAsia="en-US"/>
        </w:rPr>
      </w:pPr>
      <w:r w:rsidRPr="00F80B6B">
        <w:rPr>
          <w:u w:color="000000"/>
          <w:lang w:eastAsia="en-US"/>
        </w:rPr>
        <w:t>En esta línea, en los próximos años, uno de los focos de la iniciativa será el de ampliar la red de cola</w:t>
      </w:r>
      <w:r w:rsidR="00383F79" w:rsidRPr="00F80B6B">
        <w:rPr>
          <w:u w:color="000000"/>
          <w:lang w:eastAsia="en-US"/>
        </w:rPr>
        <w:t>bora</w:t>
      </w:r>
      <w:r w:rsidRPr="00F80B6B">
        <w:rPr>
          <w:u w:color="000000"/>
          <w:lang w:eastAsia="en-US"/>
        </w:rPr>
        <w:t xml:space="preserve">dores, de modo que nuevas organizaciones con alcance y relevancia en el ámbito empresarial, se unan y potencien el alcance </w:t>
      </w:r>
      <w:r w:rsidR="001A6CE9" w:rsidRPr="00F80B6B">
        <w:rPr>
          <w:u w:color="000000"/>
          <w:lang w:eastAsia="en-US"/>
        </w:rPr>
        <w:t xml:space="preserve">de la acción. </w:t>
      </w:r>
    </w:p>
    <w:p w:rsidR="001A6CE9" w:rsidRPr="00F80B6B" w:rsidRDefault="001A6CE9" w:rsidP="00F80B6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ind w:right="-548"/>
        <w:jc w:val="both"/>
        <w:rPr>
          <w:u w:color="000000"/>
          <w:lang w:eastAsia="en-US"/>
        </w:rPr>
      </w:pPr>
    </w:p>
    <w:p w:rsidR="00D756A5" w:rsidRPr="00F80B6B" w:rsidRDefault="0058558F" w:rsidP="00F80B6B">
      <w:pPr>
        <w:shd w:val="clear" w:color="auto" w:fill="FFFFFF"/>
        <w:spacing w:line="300" w:lineRule="atLeast"/>
        <w:ind w:right="-548"/>
        <w:jc w:val="both"/>
        <w:textAlignment w:val="baseline"/>
        <w:outlineLvl w:val="1"/>
        <w:rPr>
          <w:sz w:val="20"/>
          <w:szCs w:val="20"/>
          <w:u w:val="single"/>
        </w:rPr>
      </w:pPr>
      <w:r w:rsidRPr="00F80B6B">
        <w:rPr>
          <w:rFonts w:eastAsia="Arial Unicode MS"/>
          <w:spacing w:val="1"/>
          <w:kern w:val="16"/>
          <w:sz w:val="20"/>
          <w:szCs w:val="20"/>
          <w:u w:val="single"/>
          <w:bdr w:val="nil"/>
          <w:lang w:eastAsia="en-US"/>
        </w:rPr>
        <w:t>Para más información</w:t>
      </w:r>
    </w:p>
    <w:p w:rsidR="00D204ED" w:rsidRPr="00F80B6B" w:rsidRDefault="00D204ED" w:rsidP="00F80B6B">
      <w:pPr>
        <w:ind w:right="-548"/>
        <w:jc w:val="both"/>
        <w:outlineLvl w:val="0"/>
        <w:rPr>
          <w:b/>
          <w:sz w:val="20"/>
        </w:rPr>
      </w:pPr>
    </w:p>
    <w:p w:rsidR="00F80B6B" w:rsidRDefault="00D204ED" w:rsidP="00F80B6B">
      <w:pPr>
        <w:ind w:right="-548"/>
        <w:jc w:val="both"/>
        <w:outlineLvl w:val="0"/>
        <w:rPr>
          <w:sz w:val="20"/>
          <w:lang w:val="pt-PT"/>
        </w:rPr>
      </w:pPr>
      <w:r w:rsidRPr="00F80B6B">
        <w:rPr>
          <w:b/>
          <w:sz w:val="20"/>
        </w:rPr>
        <w:t>AMETIC (</w:t>
      </w:r>
      <w:r w:rsidR="009747BE" w:rsidRPr="00F80B6B">
        <w:rPr>
          <w:b/>
          <w:sz w:val="20"/>
        </w:rPr>
        <w:t>Román y Asociados</w:t>
      </w:r>
      <w:r w:rsidRPr="00F80B6B">
        <w:rPr>
          <w:b/>
          <w:sz w:val="20"/>
        </w:rPr>
        <w:t>)</w:t>
      </w:r>
      <w:r w:rsidR="009747BE" w:rsidRPr="00F80B6B">
        <w:rPr>
          <w:b/>
          <w:sz w:val="20"/>
        </w:rPr>
        <w:t>.</w:t>
      </w:r>
      <w:r w:rsidRPr="00F80B6B">
        <w:rPr>
          <w:b/>
          <w:sz w:val="20"/>
        </w:rPr>
        <w:t xml:space="preserve"> </w:t>
      </w:r>
      <w:r w:rsidR="00C63F71" w:rsidRPr="00F80B6B">
        <w:rPr>
          <w:b/>
          <w:sz w:val="20"/>
          <w:lang w:val="pt-PT"/>
        </w:rPr>
        <w:t>Miren García/Manuel Portocarrero</w:t>
      </w:r>
      <w:r w:rsidR="009747BE" w:rsidRPr="00F80B6B">
        <w:rPr>
          <w:sz w:val="20"/>
          <w:lang w:val="pt-PT"/>
        </w:rPr>
        <w:t xml:space="preserve"> </w:t>
      </w:r>
    </w:p>
    <w:p w:rsidR="009747BE" w:rsidRPr="00F80B6B" w:rsidRDefault="009747BE" w:rsidP="00F80B6B">
      <w:pPr>
        <w:ind w:right="-548"/>
        <w:jc w:val="both"/>
        <w:outlineLvl w:val="0"/>
        <w:rPr>
          <w:sz w:val="20"/>
          <w:lang w:val="pt-PT"/>
        </w:rPr>
      </w:pPr>
      <w:bookmarkStart w:id="0" w:name="_GoBack"/>
      <w:bookmarkEnd w:id="0"/>
      <w:r w:rsidRPr="00F80B6B">
        <w:rPr>
          <w:sz w:val="20"/>
          <w:lang w:val="pt-PT"/>
        </w:rPr>
        <w:t>Tel. 91 591 55 00</w:t>
      </w:r>
      <w:r w:rsidR="00D204ED" w:rsidRPr="00F80B6B">
        <w:rPr>
          <w:sz w:val="20"/>
          <w:lang w:val="pt-PT"/>
        </w:rPr>
        <w:t xml:space="preserve"> </w:t>
      </w:r>
      <w:hyperlink r:id="rId18" w:history="1">
        <w:r w:rsidR="00C63F71" w:rsidRPr="00F80B6B">
          <w:rPr>
            <w:rStyle w:val="Hipervnculo"/>
            <w:color w:val="auto"/>
            <w:sz w:val="20"/>
            <w:lang w:val="pt-PT"/>
          </w:rPr>
          <w:t>m.garcia@romanyasociados.es</w:t>
        </w:r>
      </w:hyperlink>
      <w:r w:rsidR="00C63F71" w:rsidRPr="00F80B6B">
        <w:rPr>
          <w:sz w:val="20"/>
          <w:lang w:val="pt-PT"/>
        </w:rPr>
        <w:t xml:space="preserve"> </w:t>
      </w:r>
      <w:hyperlink r:id="rId19" w:history="1">
        <w:r w:rsidR="00C63F71" w:rsidRPr="00F80B6B">
          <w:rPr>
            <w:rStyle w:val="Hipervnculo"/>
            <w:color w:val="auto"/>
            <w:sz w:val="20"/>
            <w:lang w:val="pt-PT"/>
          </w:rPr>
          <w:t>/m.portocarrero@romanyasociados.es</w:t>
        </w:r>
      </w:hyperlink>
    </w:p>
    <w:p w:rsidR="00904442" w:rsidRPr="00F80B6B" w:rsidRDefault="00D204ED" w:rsidP="00F80B6B">
      <w:pPr>
        <w:ind w:right="-548"/>
        <w:jc w:val="both"/>
        <w:rPr>
          <w:rStyle w:val="Hipervnculo"/>
          <w:color w:val="auto"/>
          <w:sz w:val="20"/>
        </w:rPr>
      </w:pPr>
      <w:r w:rsidRPr="00F80B6B">
        <w:rPr>
          <w:rStyle w:val="Hipervnculo"/>
          <w:b/>
          <w:color w:val="auto"/>
          <w:sz w:val="20"/>
          <w:u w:val="none"/>
          <w:lang w:val="pt-PT"/>
        </w:rPr>
        <w:t>BSA</w:t>
      </w:r>
      <w:r w:rsidR="00904442" w:rsidRPr="00F80B6B">
        <w:rPr>
          <w:rStyle w:val="Hipervnculo"/>
          <w:b/>
          <w:color w:val="auto"/>
          <w:sz w:val="20"/>
          <w:u w:val="none"/>
          <w:lang w:val="pt-PT"/>
        </w:rPr>
        <w:t xml:space="preserve"> </w:t>
      </w:r>
      <w:r w:rsidRPr="00F80B6B">
        <w:rPr>
          <w:rStyle w:val="Hipervnculo"/>
          <w:b/>
          <w:color w:val="auto"/>
          <w:sz w:val="20"/>
          <w:u w:val="none"/>
          <w:lang w:val="pt-PT"/>
        </w:rPr>
        <w:t>(</w:t>
      </w:r>
      <w:r w:rsidR="00904442" w:rsidRPr="00F80B6B">
        <w:rPr>
          <w:rStyle w:val="Hipervnculo"/>
          <w:b/>
          <w:color w:val="auto"/>
          <w:sz w:val="20"/>
          <w:u w:val="none"/>
          <w:lang w:val="pt-PT"/>
        </w:rPr>
        <w:t>Omnicom PR Group</w:t>
      </w:r>
      <w:r w:rsidRPr="00F80B6B">
        <w:rPr>
          <w:rStyle w:val="Hipervnculo"/>
          <w:b/>
          <w:color w:val="auto"/>
          <w:sz w:val="20"/>
          <w:u w:val="none"/>
          <w:lang w:val="pt-PT"/>
        </w:rPr>
        <w:t>) Víctor Acero y Julián Ramos</w:t>
      </w:r>
      <w:r w:rsidR="00904442" w:rsidRPr="00F80B6B">
        <w:rPr>
          <w:rStyle w:val="Hipervnculo"/>
          <w:color w:val="auto"/>
          <w:sz w:val="20"/>
          <w:u w:val="none"/>
          <w:lang w:val="pt-PT"/>
        </w:rPr>
        <w:t xml:space="preserve">. </w:t>
      </w:r>
      <w:r w:rsidR="00904442" w:rsidRPr="00F80B6B">
        <w:rPr>
          <w:rStyle w:val="Hipervnculo"/>
          <w:color w:val="auto"/>
          <w:sz w:val="20"/>
          <w:u w:val="none"/>
        </w:rPr>
        <w:t>Tel. 91 788 32 00</w:t>
      </w:r>
    </w:p>
    <w:p w:rsidR="00904442" w:rsidRPr="00F80B6B" w:rsidRDefault="00DB07D1" w:rsidP="00F80B6B">
      <w:pPr>
        <w:ind w:right="-548"/>
        <w:jc w:val="both"/>
        <w:rPr>
          <w:b/>
          <w:sz w:val="20"/>
          <w:u w:val="single"/>
        </w:rPr>
      </w:pPr>
      <w:hyperlink r:id="rId20" w:history="1">
        <w:r w:rsidR="00904442" w:rsidRPr="00F80B6B">
          <w:rPr>
            <w:rStyle w:val="Hipervnculo"/>
            <w:color w:val="auto"/>
            <w:sz w:val="20"/>
          </w:rPr>
          <w:t>victor.acero@omnicomprgroup.com</w:t>
        </w:r>
      </w:hyperlink>
      <w:r w:rsidR="00D204ED" w:rsidRPr="00F80B6B">
        <w:rPr>
          <w:rStyle w:val="Hipervnculo"/>
          <w:color w:val="auto"/>
          <w:sz w:val="20"/>
        </w:rPr>
        <w:t xml:space="preserve"> </w:t>
      </w:r>
      <w:r w:rsidR="00D204ED" w:rsidRPr="00F80B6B">
        <w:rPr>
          <w:rStyle w:val="Hipervnculo"/>
          <w:color w:val="auto"/>
          <w:sz w:val="20"/>
          <w:u w:val="none"/>
        </w:rPr>
        <w:t xml:space="preserve"> </w:t>
      </w:r>
      <w:r w:rsidR="00D204ED" w:rsidRPr="00F80B6B">
        <w:rPr>
          <w:rStyle w:val="Hipervnculo"/>
          <w:b/>
          <w:color w:val="auto"/>
          <w:sz w:val="20"/>
          <w:u w:val="none"/>
        </w:rPr>
        <w:t xml:space="preserve">/ </w:t>
      </w:r>
      <w:r w:rsidR="00904442" w:rsidRPr="00F80B6B">
        <w:rPr>
          <w:rStyle w:val="Hipervnculo"/>
          <w:color w:val="auto"/>
          <w:sz w:val="20"/>
          <w:u w:val="none"/>
        </w:rPr>
        <w:t xml:space="preserve"> </w:t>
      </w:r>
      <w:hyperlink r:id="rId21" w:history="1">
        <w:r w:rsidR="00904442" w:rsidRPr="00F80B6B">
          <w:rPr>
            <w:rStyle w:val="Hipervnculo"/>
            <w:color w:val="auto"/>
            <w:sz w:val="20"/>
          </w:rPr>
          <w:t>julian.ramos@omnicomprgroup.com</w:t>
        </w:r>
      </w:hyperlink>
      <w:r w:rsidR="00904442" w:rsidRPr="00F80B6B">
        <w:rPr>
          <w:rStyle w:val="Hipervnculo"/>
          <w:color w:val="auto"/>
          <w:sz w:val="20"/>
        </w:rPr>
        <w:t xml:space="preserve">  </w:t>
      </w:r>
    </w:p>
    <w:p w:rsidR="00187E6A" w:rsidRPr="00F80B6B" w:rsidRDefault="00187E6A" w:rsidP="00F80B6B">
      <w:pPr>
        <w:ind w:right="-548"/>
        <w:jc w:val="both"/>
      </w:pPr>
    </w:p>
    <w:p w:rsidR="00187E6A" w:rsidRPr="00F80B6B" w:rsidRDefault="00187E6A" w:rsidP="00F80B6B">
      <w:pPr>
        <w:ind w:right="-548"/>
        <w:jc w:val="both"/>
      </w:pPr>
    </w:p>
    <w:p w:rsidR="00187E6A" w:rsidRPr="00F80B6B" w:rsidRDefault="00187E6A" w:rsidP="00F80B6B">
      <w:pPr>
        <w:ind w:right="-548"/>
        <w:jc w:val="both"/>
      </w:pPr>
    </w:p>
    <w:sectPr w:rsidR="00187E6A" w:rsidRPr="00F80B6B" w:rsidSect="00CE4739">
      <w:headerReference w:type="default" r:id="rId22"/>
      <w:pgSz w:w="11906" w:h="16838" w:code="9"/>
      <w:pgMar w:top="1979" w:right="1558" w:bottom="284" w:left="15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D1" w:rsidRDefault="00DB07D1" w:rsidP="00382D07">
      <w:r>
        <w:separator/>
      </w:r>
    </w:p>
  </w:endnote>
  <w:endnote w:type="continuationSeparator" w:id="0">
    <w:p w:rsidR="00DB07D1" w:rsidRDefault="00DB07D1" w:rsidP="0038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D1" w:rsidRDefault="00DB07D1" w:rsidP="00382D07">
      <w:r>
        <w:separator/>
      </w:r>
    </w:p>
  </w:footnote>
  <w:footnote w:type="continuationSeparator" w:id="0">
    <w:p w:rsidR="00DB07D1" w:rsidRDefault="00DB07D1" w:rsidP="0038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D15" w:rsidRDefault="0089048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107950</wp:posOffset>
          </wp:positionH>
          <wp:positionV relativeFrom="paragraph">
            <wp:posOffset>140970</wp:posOffset>
          </wp:positionV>
          <wp:extent cx="1282065" cy="577850"/>
          <wp:effectExtent l="0" t="0" r="0" b="0"/>
          <wp:wrapSquare wrapText="bothSides"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etic Logo_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84" t="20947" r="9912" b="30176"/>
                  <a:stretch/>
                </pic:blipFill>
                <pic:spPr bwMode="auto">
                  <a:xfrm>
                    <a:off x="0" y="0"/>
                    <a:ext cx="1282065" cy="57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E9F">
      <w:t xml:space="preserve">  </w:t>
    </w:r>
    <w:r w:rsidR="00CE4739">
      <w:t xml:space="preserve">       </w:t>
    </w:r>
  </w:p>
  <w:p w:rsidR="005E6D15" w:rsidRDefault="00F65DFD" w:rsidP="00807D83">
    <w:pPr>
      <w:pStyle w:val="Encabezado"/>
      <w:tabs>
        <w:tab w:val="clear" w:pos="8504"/>
        <w:tab w:val="right" w:pos="878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1750695" cy="546100"/>
          <wp:effectExtent l="0" t="0" r="1905" b="6350"/>
          <wp:wrapTight wrapText="bothSides">
            <wp:wrapPolygon edited="0">
              <wp:start x="0" y="0"/>
              <wp:lineTo x="0" y="21098"/>
              <wp:lineTo x="21388" y="21098"/>
              <wp:lineTo x="21388" y="0"/>
              <wp:lineTo x="0" y="0"/>
            </wp:wrapPolygon>
          </wp:wrapTight>
          <wp:docPr id="1028" name="Picture 4" descr="Resultado de imagen de bsa logo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Resultado de imagen de bsa logo softwar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5" t="28379" b="28600"/>
                  <a:stretch/>
                </pic:blipFill>
                <pic:spPr bwMode="auto">
                  <a:xfrm>
                    <a:off x="0" y="0"/>
                    <a:ext cx="1750695" cy="5461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D15">
      <w:t xml:space="preserve"> </w:t>
    </w:r>
  </w:p>
  <w:p w:rsidR="005E6D15" w:rsidRDefault="005E6D15">
    <w:pPr>
      <w:pStyle w:val="Encabezado"/>
    </w:pPr>
  </w:p>
  <w:p w:rsidR="005E6D15" w:rsidRDefault="005E6D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73E"/>
    <w:multiLevelType w:val="hybridMultilevel"/>
    <w:tmpl w:val="91AE5FC6"/>
    <w:lvl w:ilvl="0" w:tplc="C1C2D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76CE9DA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03F9"/>
    <w:multiLevelType w:val="hybridMultilevel"/>
    <w:tmpl w:val="23BEA4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67D2E"/>
    <w:multiLevelType w:val="hybridMultilevel"/>
    <w:tmpl w:val="4F44761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4E0543"/>
    <w:multiLevelType w:val="multilevel"/>
    <w:tmpl w:val="00DE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B72CD"/>
    <w:multiLevelType w:val="hybridMultilevel"/>
    <w:tmpl w:val="F12252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F3994"/>
    <w:multiLevelType w:val="hybridMultilevel"/>
    <w:tmpl w:val="3D263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7BF4"/>
    <w:multiLevelType w:val="hybridMultilevel"/>
    <w:tmpl w:val="1E0E4670"/>
    <w:lvl w:ilvl="0" w:tplc="B33A639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70C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07"/>
    <w:rsid w:val="00027921"/>
    <w:rsid w:val="00053C78"/>
    <w:rsid w:val="000800DF"/>
    <w:rsid w:val="00091EA5"/>
    <w:rsid w:val="00095A07"/>
    <w:rsid w:val="000D05C9"/>
    <w:rsid w:val="000E1190"/>
    <w:rsid w:val="00155E17"/>
    <w:rsid w:val="00166638"/>
    <w:rsid w:val="00181AA3"/>
    <w:rsid w:val="00187E6A"/>
    <w:rsid w:val="001A6CE9"/>
    <w:rsid w:val="002037C1"/>
    <w:rsid w:val="00225C5C"/>
    <w:rsid w:val="00266FCC"/>
    <w:rsid w:val="0026790F"/>
    <w:rsid w:val="00273769"/>
    <w:rsid w:val="00296F0D"/>
    <w:rsid w:val="00382D07"/>
    <w:rsid w:val="00383F79"/>
    <w:rsid w:val="00393157"/>
    <w:rsid w:val="003B2416"/>
    <w:rsid w:val="003D12CD"/>
    <w:rsid w:val="003F0BE6"/>
    <w:rsid w:val="00402622"/>
    <w:rsid w:val="004B4E9F"/>
    <w:rsid w:val="004E4172"/>
    <w:rsid w:val="005230F2"/>
    <w:rsid w:val="00545988"/>
    <w:rsid w:val="00576B67"/>
    <w:rsid w:val="005824AE"/>
    <w:rsid w:val="0058558F"/>
    <w:rsid w:val="005E6D15"/>
    <w:rsid w:val="00627F79"/>
    <w:rsid w:val="00640980"/>
    <w:rsid w:val="00652A6B"/>
    <w:rsid w:val="00661AE5"/>
    <w:rsid w:val="0066333F"/>
    <w:rsid w:val="006A2F4B"/>
    <w:rsid w:val="0071400F"/>
    <w:rsid w:val="00752229"/>
    <w:rsid w:val="007C272E"/>
    <w:rsid w:val="00805374"/>
    <w:rsid w:val="00807D83"/>
    <w:rsid w:val="00821C16"/>
    <w:rsid w:val="00855723"/>
    <w:rsid w:val="00856987"/>
    <w:rsid w:val="0089048B"/>
    <w:rsid w:val="008A67F6"/>
    <w:rsid w:val="008E375E"/>
    <w:rsid w:val="00904442"/>
    <w:rsid w:val="009719C0"/>
    <w:rsid w:val="009747BE"/>
    <w:rsid w:val="009879F5"/>
    <w:rsid w:val="009A2CB3"/>
    <w:rsid w:val="009C35FA"/>
    <w:rsid w:val="00A07738"/>
    <w:rsid w:val="00A30111"/>
    <w:rsid w:val="00A41351"/>
    <w:rsid w:val="00A74FD6"/>
    <w:rsid w:val="00AD6889"/>
    <w:rsid w:val="00B74D8C"/>
    <w:rsid w:val="00B9410D"/>
    <w:rsid w:val="00BD28A2"/>
    <w:rsid w:val="00BE5C19"/>
    <w:rsid w:val="00BF5290"/>
    <w:rsid w:val="00C63F71"/>
    <w:rsid w:val="00C71AA2"/>
    <w:rsid w:val="00CC2138"/>
    <w:rsid w:val="00CE2167"/>
    <w:rsid w:val="00CE4739"/>
    <w:rsid w:val="00CF376B"/>
    <w:rsid w:val="00D204ED"/>
    <w:rsid w:val="00D40315"/>
    <w:rsid w:val="00D756A5"/>
    <w:rsid w:val="00D8755D"/>
    <w:rsid w:val="00DB07D1"/>
    <w:rsid w:val="00DD6972"/>
    <w:rsid w:val="00DF03FD"/>
    <w:rsid w:val="00E211ED"/>
    <w:rsid w:val="00E3508E"/>
    <w:rsid w:val="00E62217"/>
    <w:rsid w:val="00EA089F"/>
    <w:rsid w:val="00ED6581"/>
    <w:rsid w:val="00EF470F"/>
    <w:rsid w:val="00F10F5E"/>
    <w:rsid w:val="00F156FC"/>
    <w:rsid w:val="00F30CD0"/>
    <w:rsid w:val="00F65DFD"/>
    <w:rsid w:val="00F80B6B"/>
    <w:rsid w:val="00FC38F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B9E12"/>
  <w15:chartTrackingRefBased/>
  <w15:docId w15:val="{EFAAB8BF-443F-4158-A0DA-C6A2B9A4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D07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2D07"/>
    <w:pPr>
      <w:keepNext/>
      <w:outlineLvl w:val="0"/>
    </w:pPr>
    <w:rPr>
      <w:rFonts w:ascii="Gill Sans MT" w:hAnsi="Gill Sans MT"/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382D07"/>
    <w:pPr>
      <w:keepNext/>
      <w:ind w:left="2124" w:firstLine="708"/>
      <w:outlineLvl w:val="4"/>
    </w:pPr>
    <w:rPr>
      <w:rFonts w:ascii="Verdana" w:hAnsi="Verdana"/>
      <w:b/>
      <w:bCs/>
      <w:sz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82D07"/>
    <w:pPr>
      <w:keepNext/>
      <w:ind w:right="-407"/>
      <w:outlineLvl w:val="5"/>
    </w:pPr>
    <w:rPr>
      <w:rFonts w:ascii="Verdana" w:hAnsi="Verdana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2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D07"/>
  </w:style>
  <w:style w:type="paragraph" w:styleId="Piedepgina">
    <w:name w:val="footer"/>
    <w:basedOn w:val="Normal"/>
    <w:link w:val="PiedepginaCar"/>
    <w:uiPriority w:val="99"/>
    <w:unhideWhenUsed/>
    <w:rsid w:val="00382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D07"/>
  </w:style>
  <w:style w:type="character" w:customStyle="1" w:styleId="Ttulo1Car">
    <w:name w:val="Título 1 Car"/>
    <w:basedOn w:val="Fuentedeprrafopredeter"/>
    <w:link w:val="Ttulo1"/>
    <w:rsid w:val="00382D07"/>
    <w:rPr>
      <w:rFonts w:ascii="Gill Sans MT" w:eastAsia="Times New Roman" w:hAnsi="Gill Sans MT" w:cs="Arial"/>
      <w:b/>
      <w:bCs/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82D07"/>
    <w:rPr>
      <w:rFonts w:ascii="Verdana" w:eastAsia="Times New Roman" w:hAnsi="Verdana" w:cs="Arial"/>
      <w:b/>
      <w:bCs/>
      <w:sz w:val="20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82D07"/>
    <w:rPr>
      <w:rFonts w:ascii="Verdana" w:eastAsia="Times New Roman" w:hAnsi="Verdana" w:cs="Arial"/>
      <w:b/>
      <w:bCs/>
      <w:sz w:val="20"/>
      <w:szCs w:val="24"/>
      <w:lang w:val="es-ES_tradnl" w:eastAsia="es-ES"/>
    </w:rPr>
  </w:style>
  <w:style w:type="character" w:styleId="Hipervnculo">
    <w:name w:val="Hyperlink"/>
    <w:uiPriority w:val="99"/>
    <w:rsid w:val="00382D07"/>
    <w:rPr>
      <w:color w:val="0000FF"/>
      <w:u w:val="single"/>
    </w:rPr>
  </w:style>
  <w:style w:type="paragraph" w:styleId="Prrafodelista">
    <w:name w:val="List Paragraph"/>
    <w:aliases w:val="Párrafo de titulo 3,UEDAŞ Bullet,abc siralı,Use Case List Paragraph,Heading2,Body Bullet,BULLET,Bullet 1,lp1,Arial 8"/>
    <w:basedOn w:val="Normal"/>
    <w:link w:val="PrrafodelistaCar"/>
    <w:uiPriority w:val="34"/>
    <w:qFormat/>
    <w:rsid w:val="00382D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0B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BE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4D8C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titulo 3 Car,UEDAŞ Bullet Car,abc siralı Car,Use Case List Paragraph Car,Heading2 Car,Body Bullet Car,BULLET Car,Bullet 1 Car,lp1 Car,Arial 8 Car"/>
    <w:link w:val="Prrafodelista"/>
    <w:uiPriority w:val="34"/>
    <w:rsid w:val="00A07738"/>
    <w:rPr>
      <w:rFonts w:ascii="Arial" w:eastAsia="Times New Roman" w:hAnsi="Arial" w:cs="Arial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65DFD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6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B67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63F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66">
          <w:marLeft w:val="0"/>
          <w:marRight w:val="0"/>
          <w:marTop w:val="240"/>
          <w:marBottom w:val="240"/>
          <w:divBdr>
            <w:top w:val="dotted" w:sz="6" w:space="7" w:color="666666"/>
            <w:left w:val="none" w:sz="0" w:space="0" w:color="auto"/>
            <w:bottom w:val="dotted" w:sz="6" w:space="7" w:color="666666"/>
            <w:right w:val="none" w:sz="0" w:space="0" w:color="auto"/>
          </w:divBdr>
        </w:div>
        <w:div w:id="297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tic.es/es" TargetMode="External"/><Relationship Id="rId13" Type="http://schemas.openxmlformats.org/officeDocument/2006/relationships/hyperlink" Target="http://www.cepyme.es/" TargetMode="External"/><Relationship Id="rId18" Type="http://schemas.openxmlformats.org/officeDocument/2006/relationships/hyperlink" Target="mailto:m.garcia@romanyasociados.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lian.ramos@omnicomprgroupo.com" TargetMode="External"/><Relationship Id="rId7" Type="http://schemas.openxmlformats.org/officeDocument/2006/relationships/hyperlink" Target="http://www.bsa.org/" TargetMode="External"/><Relationship Id="rId12" Type="http://schemas.openxmlformats.org/officeDocument/2006/relationships/hyperlink" Target="http://www.ceoe.es/es" TargetMode="External"/><Relationship Id="rId17" Type="http://schemas.openxmlformats.org/officeDocument/2006/relationships/hyperlink" Target="http://softcare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ija.com/" TargetMode="External"/><Relationship Id="rId20" Type="http://schemas.openxmlformats.org/officeDocument/2006/relationships/hyperlink" Target="mailto:victor.acero@omnicomprgroup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ftwareLegalEmpresa.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cii.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ftwarelegalempresa.es/" TargetMode="External"/><Relationship Id="rId19" Type="http://schemas.openxmlformats.org/officeDocument/2006/relationships/hyperlink" Target="mailto:/m.portocarrero@romanyasociados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tad.gob.es/es-es/gabineteprensa/notasprensa/2015/Paginas/20150310-convenio-ametic.aspx" TargetMode="External"/><Relationship Id="rId14" Type="http://schemas.openxmlformats.org/officeDocument/2006/relationships/hyperlink" Target="https://www.asociacioncompliance.com/sobre-as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Cobo</dc:creator>
  <cp:keywords/>
  <dc:description/>
  <cp:lastModifiedBy>Manuel Moreno</cp:lastModifiedBy>
  <cp:revision>16</cp:revision>
  <cp:lastPrinted>2018-02-27T15:33:00Z</cp:lastPrinted>
  <dcterms:created xsi:type="dcterms:W3CDTF">2018-04-19T10:23:00Z</dcterms:created>
  <dcterms:modified xsi:type="dcterms:W3CDTF">2018-05-08T08:57:00Z</dcterms:modified>
</cp:coreProperties>
</file>