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F57A" w14:textId="5AEDDEA2" w:rsidR="00FA03EE" w:rsidRPr="00FA03EE" w:rsidRDefault="00B37E3B" w:rsidP="00A248B7">
      <w:pPr>
        <w:jc w:val="center"/>
        <w:rPr>
          <w:b/>
          <w:color w:val="3C3C3C"/>
          <w:u w:val="single"/>
        </w:rPr>
      </w:pPr>
      <w:r w:rsidRPr="00B37E3B">
        <w:rPr>
          <w:b/>
          <w:color w:val="3C3C3C"/>
          <w:u w:val="single"/>
        </w:rPr>
        <w:t xml:space="preserve">Lanza su </w:t>
      </w:r>
      <w:r>
        <w:rPr>
          <w:b/>
          <w:color w:val="3C3C3C"/>
          <w:u w:val="single"/>
        </w:rPr>
        <w:t xml:space="preserve">quinta </w:t>
      </w:r>
      <w:r w:rsidRPr="00B37E3B">
        <w:rPr>
          <w:b/>
          <w:color w:val="3C3C3C"/>
          <w:u w:val="single"/>
        </w:rPr>
        <w:t>píldora informativa</w:t>
      </w:r>
    </w:p>
    <w:p w14:paraId="2D24F0FA" w14:textId="77777777" w:rsidR="003064BA" w:rsidRDefault="003064BA" w:rsidP="003064BA">
      <w:pPr>
        <w:rPr>
          <w:rFonts w:eastAsia="Times New Roman"/>
          <w:b/>
          <w:color w:val="1C71B8"/>
          <w:sz w:val="35"/>
          <w:szCs w:val="35"/>
        </w:rPr>
      </w:pPr>
    </w:p>
    <w:p w14:paraId="48ADB4E7" w14:textId="582DA6A9" w:rsidR="00000526" w:rsidRPr="00423962" w:rsidRDefault="0068321A" w:rsidP="00000526">
      <w:pPr>
        <w:jc w:val="center"/>
        <w:rPr>
          <w:rFonts w:eastAsia="Times New Roman"/>
          <w:b/>
          <w:color w:val="1C71B8"/>
          <w:sz w:val="35"/>
          <w:szCs w:val="35"/>
        </w:rPr>
      </w:pPr>
      <w:r w:rsidRPr="00423962">
        <w:rPr>
          <w:rFonts w:eastAsia="Times New Roman"/>
          <w:b/>
          <w:color w:val="1C71B8"/>
          <w:sz w:val="35"/>
          <w:szCs w:val="35"/>
        </w:rPr>
        <w:t xml:space="preserve"> </w:t>
      </w:r>
      <w:r w:rsidR="003064BA" w:rsidRPr="00423962">
        <w:rPr>
          <w:rFonts w:eastAsia="Times New Roman"/>
          <w:b/>
          <w:color w:val="1C71B8"/>
          <w:sz w:val="35"/>
          <w:szCs w:val="35"/>
        </w:rPr>
        <w:t>El Grupo de Reflexión de AMETIC analiza</w:t>
      </w:r>
      <w:r w:rsidR="003064BA">
        <w:rPr>
          <w:rFonts w:eastAsia="Times New Roman"/>
          <w:b/>
          <w:color w:val="1C71B8"/>
          <w:sz w:val="35"/>
          <w:szCs w:val="35"/>
        </w:rPr>
        <w:t xml:space="preserve"> </w:t>
      </w:r>
      <w:r w:rsidRPr="00423962">
        <w:rPr>
          <w:rFonts w:eastAsia="Times New Roman"/>
          <w:b/>
          <w:color w:val="1C71B8"/>
          <w:sz w:val="35"/>
          <w:szCs w:val="35"/>
        </w:rPr>
        <w:t xml:space="preserve">las claves de las empresas colaborativas impulsadas por las plataformas tecnológicas   </w:t>
      </w:r>
    </w:p>
    <w:p w14:paraId="260BDAA0" w14:textId="77777777" w:rsidR="003064BA" w:rsidRPr="00331DEA" w:rsidRDefault="003064BA" w:rsidP="001D538C">
      <w:pPr>
        <w:rPr>
          <w:rFonts w:ascii="Verdana" w:hAnsi="Verdana"/>
          <w:b/>
        </w:rPr>
      </w:pPr>
    </w:p>
    <w:p w14:paraId="6B684B35" w14:textId="7B186474" w:rsidR="0068321A" w:rsidRDefault="003064BA" w:rsidP="0068321A">
      <w:pPr>
        <w:numPr>
          <w:ilvl w:val="0"/>
          <w:numId w:val="1"/>
        </w:numPr>
        <w:pBdr>
          <w:top w:val="nil"/>
          <w:left w:val="nil"/>
          <w:bottom w:val="nil"/>
          <w:right w:val="nil"/>
          <w:between w:val="nil"/>
        </w:pBdr>
        <w:ind w:left="360"/>
        <w:jc w:val="both"/>
        <w:rPr>
          <w:b/>
          <w:color w:val="1C71B8"/>
        </w:rPr>
      </w:pPr>
      <w:r w:rsidRPr="003064BA">
        <w:rPr>
          <w:b/>
          <w:color w:val="1C71B8"/>
        </w:rPr>
        <w:t>Compañías como Amazon, YouTube, Uber, Airbnb o Rakutan</w:t>
      </w:r>
      <w:r w:rsidR="0068321A" w:rsidRPr="003064BA">
        <w:rPr>
          <w:b/>
          <w:color w:val="1C71B8"/>
        </w:rPr>
        <w:t xml:space="preserve"> han</w:t>
      </w:r>
      <w:r w:rsidRPr="003064BA">
        <w:rPr>
          <w:b/>
          <w:color w:val="1C71B8"/>
        </w:rPr>
        <w:t xml:space="preserve"> sabido aprovechar el potencial de los modelos de negocio impulsados por las plataformas tecnológicas para crecer exponencialmente en tamaño y escala.</w:t>
      </w:r>
    </w:p>
    <w:p w14:paraId="71D2AB07" w14:textId="77777777" w:rsidR="003064BA" w:rsidRPr="003064BA" w:rsidRDefault="003064BA" w:rsidP="003064BA">
      <w:pPr>
        <w:pBdr>
          <w:top w:val="nil"/>
          <w:left w:val="nil"/>
          <w:bottom w:val="nil"/>
          <w:right w:val="nil"/>
          <w:between w:val="nil"/>
        </w:pBdr>
        <w:ind w:left="360"/>
        <w:jc w:val="both"/>
        <w:rPr>
          <w:b/>
          <w:color w:val="1C71B8"/>
        </w:rPr>
      </w:pPr>
    </w:p>
    <w:p w14:paraId="624B2E8D" w14:textId="5A71B716" w:rsidR="009D00DC" w:rsidRDefault="009D00DC" w:rsidP="009D00DC">
      <w:pPr>
        <w:numPr>
          <w:ilvl w:val="0"/>
          <w:numId w:val="1"/>
        </w:numPr>
        <w:pBdr>
          <w:top w:val="nil"/>
          <w:left w:val="nil"/>
          <w:bottom w:val="nil"/>
          <w:right w:val="nil"/>
          <w:between w:val="nil"/>
        </w:pBdr>
        <w:ind w:left="360"/>
        <w:jc w:val="both"/>
        <w:rPr>
          <w:b/>
          <w:color w:val="1C71B8"/>
        </w:rPr>
      </w:pPr>
      <w:r w:rsidRPr="002B1726">
        <w:rPr>
          <w:b/>
          <w:color w:val="1C71B8"/>
        </w:rPr>
        <w:t xml:space="preserve">Las </w:t>
      </w:r>
      <w:r w:rsidR="003064BA" w:rsidRPr="002B1726">
        <w:rPr>
          <w:b/>
          <w:color w:val="1C71B8"/>
        </w:rPr>
        <w:t>empresas</w:t>
      </w:r>
      <w:r w:rsidRPr="002B1726">
        <w:rPr>
          <w:b/>
          <w:color w:val="1C71B8"/>
        </w:rPr>
        <w:t xml:space="preserve"> colaborativas </w:t>
      </w:r>
      <w:r w:rsidR="0068321A" w:rsidRPr="002B1726">
        <w:rPr>
          <w:b/>
          <w:color w:val="1C71B8"/>
        </w:rPr>
        <w:t>contribu</w:t>
      </w:r>
      <w:r w:rsidRPr="002B1726">
        <w:rPr>
          <w:b/>
          <w:color w:val="1C71B8"/>
        </w:rPr>
        <w:t>yen</w:t>
      </w:r>
      <w:r w:rsidR="0068321A" w:rsidRPr="002B1726">
        <w:rPr>
          <w:b/>
          <w:color w:val="1C71B8"/>
        </w:rPr>
        <w:t xml:space="preserve"> </w:t>
      </w:r>
      <w:r w:rsidRPr="002B1726">
        <w:rPr>
          <w:b/>
          <w:color w:val="1C71B8"/>
        </w:rPr>
        <w:t>a</w:t>
      </w:r>
      <w:r w:rsidR="0068321A" w:rsidRPr="002B1726">
        <w:rPr>
          <w:b/>
          <w:color w:val="1C71B8"/>
        </w:rPr>
        <w:t xml:space="preserve"> la productividad </w:t>
      </w:r>
      <w:r w:rsidRPr="002B1726">
        <w:rPr>
          <w:b/>
          <w:color w:val="1C71B8"/>
        </w:rPr>
        <w:t>gracias a su</w:t>
      </w:r>
      <w:r w:rsidR="0068321A" w:rsidRPr="002B1726">
        <w:rPr>
          <w:b/>
          <w:color w:val="1C71B8"/>
        </w:rPr>
        <w:t xml:space="preserve"> conexión</w:t>
      </w:r>
      <w:r w:rsidRPr="002B1726">
        <w:rPr>
          <w:b/>
          <w:color w:val="1C71B8"/>
        </w:rPr>
        <w:t xml:space="preserve"> más rápida y eficiente</w:t>
      </w:r>
      <w:r w:rsidR="0068321A" w:rsidRPr="002B1726">
        <w:rPr>
          <w:b/>
          <w:color w:val="1C71B8"/>
        </w:rPr>
        <w:t xml:space="preserve"> entre usuarios y productos/servicios</w:t>
      </w:r>
      <w:r w:rsidR="002B1726" w:rsidRPr="002B1726">
        <w:rPr>
          <w:b/>
          <w:color w:val="1C71B8"/>
        </w:rPr>
        <w:t xml:space="preserve"> y</w:t>
      </w:r>
      <w:r w:rsidRPr="002B1726">
        <w:rPr>
          <w:b/>
          <w:color w:val="1C71B8"/>
        </w:rPr>
        <w:t xml:space="preserve"> a la optimización de activos y la cadena de valor</w:t>
      </w:r>
      <w:r w:rsidR="002B1726">
        <w:rPr>
          <w:b/>
          <w:color w:val="1C71B8"/>
        </w:rPr>
        <w:t xml:space="preserve">. </w:t>
      </w:r>
    </w:p>
    <w:p w14:paraId="5789B343" w14:textId="77777777" w:rsidR="002B1726" w:rsidRPr="002B1726" w:rsidRDefault="002B1726" w:rsidP="002B1726">
      <w:pPr>
        <w:pBdr>
          <w:top w:val="nil"/>
          <w:left w:val="nil"/>
          <w:bottom w:val="nil"/>
          <w:right w:val="nil"/>
          <w:between w:val="nil"/>
        </w:pBdr>
        <w:jc w:val="both"/>
        <w:rPr>
          <w:b/>
          <w:color w:val="1C71B8"/>
        </w:rPr>
      </w:pPr>
    </w:p>
    <w:p w14:paraId="47FD7A57" w14:textId="6E98767E" w:rsidR="009D00DC" w:rsidRPr="001D538C" w:rsidRDefault="001F40EA" w:rsidP="001D538C">
      <w:pPr>
        <w:numPr>
          <w:ilvl w:val="0"/>
          <w:numId w:val="1"/>
        </w:numPr>
        <w:pBdr>
          <w:top w:val="nil"/>
          <w:left w:val="nil"/>
          <w:bottom w:val="nil"/>
          <w:right w:val="nil"/>
          <w:between w:val="nil"/>
        </w:pBdr>
        <w:ind w:left="360"/>
        <w:jc w:val="both"/>
        <w:rPr>
          <w:b/>
          <w:color w:val="1C71B8"/>
        </w:rPr>
      </w:pPr>
      <w:r>
        <w:rPr>
          <w:b/>
          <w:color w:val="1C71B8"/>
        </w:rPr>
        <w:t xml:space="preserve">Una de sus ventajas competitivas es que tienen mayor impacto en su capacidad de atracción y optimización de inversión.  </w:t>
      </w:r>
    </w:p>
    <w:p w14:paraId="7714E91C" w14:textId="77777777" w:rsidR="004C7D06" w:rsidRDefault="004C7D06">
      <w:pPr>
        <w:jc w:val="both"/>
        <w:rPr>
          <w:b/>
          <w:i/>
          <w:color w:val="3C3C3C"/>
        </w:rPr>
      </w:pPr>
    </w:p>
    <w:p w14:paraId="10C465AA" w14:textId="5A866509" w:rsidR="003064BA" w:rsidRDefault="00316BC4" w:rsidP="0003042E">
      <w:pPr>
        <w:jc w:val="both"/>
        <w:rPr>
          <w:color w:val="3C3C3C"/>
        </w:rPr>
      </w:pPr>
      <w:r w:rsidRPr="00BD5880">
        <w:rPr>
          <w:b/>
          <w:color w:val="3C3C3C"/>
        </w:rPr>
        <w:t xml:space="preserve">Madrid, </w:t>
      </w:r>
      <w:r w:rsidR="006E1013" w:rsidRPr="006E1013">
        <w:rPr>
          <w:b/>
          <w:color w:val="3C3C3C"/>
        </w:rPr>
        <w:t>23</w:t>
      </w:r>
      <w:r w:rsidR="006E1013">
        <w:rPr>
          <w:b/>
          <w:color w:val="FF0000"/>
        </w:rPr>
        <w:t xml:space="preserve"> </w:t>
      </w:r>
      <w:r w:rsidRPr="00BD5880">
        <w:rPr>
          <w:b/>
          <w:color w:val="3C3C3C"/>
        </w:rPr>
        <w:t xml:space="preserve">de </w:t>
      </w:r>
      <w:r w:rsidR="00A248B7">
        <w:rPr>
          <w:b/>
          <w:color w:val="3C3C3C"/>
        </w:rPr>
        <w:t>octubre</w:t>
      </w:r>
      <w:r w:rsidRPr="00BD5880">
        <w:rPr>
          <w:b/>
          <w:color w:val="3C3C3C"/>
        </w:rPr>
        <w:t xml:space="preserve"> de 2019</w:t>
      </w:r>
      <w:r w:rsidRPr="00BD5880">
        <w:rPr>
          <w:b/>
          <w:i/>
          <w:color w:val="3C3C3C"/>
        </w:rPr>
        <w:t>.</w:t>
      </w:r>
      <w:r w:rsidRPr="00BD5880">
        <w:rPr>
          <w:color w:val="3C3C3C"/>
        </w:rPr>
        <w:t xml:space="preserve"> </w:t>
      </w:r>
      <w:r w:rsidR="00D34E9B">
        <w:rPr>
          <w:color w:val="3C3C3C"/>
        </w:rPr>
        <w:t xml:space="preserve">El Grupo de Reflexión de </w:t>
      </w:r>
      <w:r w:rsidR="00A248B7">
        <w:rPr>
          <w:color w:val="3C3C3C"/>
        </w:rPr>
        <w:t xml:space="preserve">AMETIC, la patronal de la industria digital, </w:t>
      </w:r>
      <w:r w:rsidR="00A248B7" w:rsidRPr="00A248B7">
        <w:rPr>
          <w:color w:val="3C3C3C"/>
        </w:rPr>
        <w:t xml:space="preserve">ha </w:t>
      </w:r>
      <w:r w:rsidR="00D34E9B">
        <w:rPr>
          <w:color w:val="3C3C3C"/>
        </w:rPr>
        <w:t>lanzado su quinta píldora informativa</w:t>
      </w:r>
      <w:r w:rsidR="00480C38">
        <w:rPr>
          <w:color w:val="3C3C3C"/>
        </w:rPr>
        <w:t xml:space="preserve"> </w:t>
      </w:r>
      <w:r w:rsidR="00184971">
        <w:rPr>
          <w:color w:val="3C3C3C"/>
        </w:rPr>
        <w:t>donde analiza la importancia de la estrategia de colaboración como un factor clave de éxito</w:t>
      </w:r>
      <w:r w:rsidR="00D339EA">
        <w:rPr>
          <w:color w:val="3C3C3C"/>
        </w:rPr>
        <w:t xml:space="preserve"> para las empresas.</w:t>
      </w:r>
      <w:r w:rsidR="00184971">
        <w:rPr>
          <w:color w:val="3C3C3C"/>
        </w:rPr>
        <w:t xml:space="preserve"> </w:t>
      </w:r>
      <w:r w:rsidR="003064BA">
        <w:rPr>
          <w:color w:val="3C3C3C"/>
        </w:rPr>
        <w:t>Es el caso de c</w:t>
      </w:r>
      <w:r w:rsidR="00184971">
        <w:rPr>
          <w:color w:val="3C3C3C"/>
        </w:rPr>
        <w:t>ompañías como Amazon, YouTube, Uber, Airbnb o Rakutan</w:t>
      </w:r>
      <w:r w:rsidR="003064BA">
        <w:rPr>
          <w:color w:val="3C3C3C"/>
        </w:rPr>
        <w:t>, que</w:t>
      </w:r>
      <w:r w:rsidR="00184971">
        <w:rPr>
          <w:color w:val="3C3C3C"/>
        </w:rPr>
        <w:t xml:space="preserve"> han sabido aprovechar el potencial de los modelos de negocio impulsados </w:t>
      </w:r>
      <w:r w:rsidR="003064BA">
        <w:rPr>
          <w:color w:val="3C3C3C"/>
        </w:rPr>
        <w:t xml:space="preserve">por las plataformas tecnológicas para crecer exponencialmente en tamaño y escala. </w:t>
      </w:r>
    </w:p>
    <w:p w14:paraId="2899DC1F" w14:textId="77777777" w:rsidR="003064BA" w:rsidRDefault="003064BA" w:rsidP="0003042E">
      <w:pPr>
        <w:jc w:val="both"/>
        <w:rPr>
          <w:color w:val="3C3C3C"/>
        </w:rPr>
      </w:pPr>
    </w:p>
    <w:p w14:paraId="77E2CF99" w14:textId="251DDA84" w:rsidR="0003042E" w:rsidRPr="0003042E" w:rsidRDefault="0003042E" w:rsidP="0003042E">
      <w:pPr>
        <w:jc w:val="both"/>
        <w:rPr>
          <w:color w:val="3C3C3C"/>
        </w:rPr>
      </w:pPr>
      <w:r w:rsidRPr="0003042E">
        <w:rPr>
          <w:color w:val="3C3C3C"/>
        </w:rPr>
        <w:t>Este tipo de compañías han sido capaces de generar ecosistema de relaciones novedoso, transformando progresivamente el entorno competitivo</w:t>
      </w:r>
      <w:r w:rsidR="003064BA">
        <w:rPr>
          <w:color w:val="3C3C3C"/>
        </w:rPr>
        <w:t>,</w:t>
      </w:r>
      <w:r w:rsidRPr="0003042E">
        <w:rPr>
          <w:color w:val="3C3C3C"/>
        </w:rPr>
        <w:t xml:space="preserve"> y modificando las fronteras entre sectores.</w:t>
      </w:r>
      <w:r w:rsidR="003064BA">
        <w:rPr>
          <w:color w:val="3C3C3C"/>
        </w:rPr>
        <w:t xml:space="preserve"> </w:t>
      </w:r>
      <w:r w:rsidRPr="0003042E">
        <w:rPr>
          <w:color w:val="3C3C3C"/>
        </w:rPr>
        <w:t>Las compañías colaborativas contribuyen a la productividad, gracias a su conexión más rápida y eficiente entre usuarios y productos/servicios; a la optimización de activos y la cadena de valor</w:t>
      </w:r>
      <w:r w:rsidR="006A036C">
        <w:rPr>
          <w:color w:val="3C3C3C"/>
        </w:rPr>
        <w:t xml:space="preserve">; reducción significativa de los costes de transacción, entre otros. </w:t>
      </w:r>
      <w:r w:rsidRPr="0003042E">
        <w:rPr>
          <w:color w:val="3C3C3C"/>
        </w:rPr>
        <w:t xml:space="preserve"> </w:t>
      </w:r>
    </w:p>
    <w:p w14:paraId="45BAA890" w14:textId="77777777" w:rsidR="0003042E" w:rsidRDefault="0003042E" w:rsidP="0003042E">
      <w:pPr>
        <w:jc w:val="both"/>
        <w:rPr>
          <w:color w:val="3C3C3C"/>
        </w:rPr>
      </w:pPr>
    </w:p>
    <w:p w14:paraId="7799E793" w14:textId="2AA29A1B" w:rsidR="006A036C" w:rsidRPr="0003042E" w:rsidRDefault="0003042E" w:rsidP="0003042E">
      <w:pPr>
        <w:jc w:val="both"/>
        <w:rPr>
          <w:color w:val="3C3C3C"/>
        </w:rPr>
      </w:pPr>
      <w:r w:rsidRPr="0003042E">
        <w:rPr>
          <w:color w:val="3C3C3C"/>
        </w:rPr>
        <w:t xml:space="preserve">Una de </w:t>
      </w:r>
      <w:r w:rsidR="00EC6770">
        <w:rPr>
          <w:color w:val="3C3C3C"/>
        </w:rPr>
        <w:t xml:space="preserve">las </w:t>
      </w:r>
      <w:r w:rsidRPr="0003042E">
        <w:rPr>
          <w:color w:val="3C3C3C"/>
        </w:rPr>
        <w:t>ventajas competitivas</w:t>
      </w:r>
      <w:r w:rsidR="003064BA">
        <w:rPr>
          <w:color w:val="3C3C3C"/>
        </w:rPr>
        <w:t xml:space="preserve"> con </w:t>
      </w:r>
      <w:r w:rsidR="006A036C">
        <w:rPr>
          <w:color w:val="3C3C3C"/>
        </w:rPr>
        <w:t>mayor impacto es</w:t>
      </w:r>
      <w:r w:rsidRPr="0003042E">
        <w:rPr>
          <w:color w:val="3C3C3C"/>
        </w:rPr>
        <w:t xml:space="preserve"> </w:t>
      </w:r>
      <w:r w:rsidR="00EC6770">
        <w:rPr>
          <w:color w:val="3C3C3C"/>
        </w:rPr>
        <w:t>la</w:t>
      </w:r>
      <w:r w:rsidRPr="0003042E">
        <w:rPr>
          <w:color w:val="3C3C3C"/>
        </w:rPr>
        <w:t xml:space="preserve"> capacidad </w:t>
      </w:r>
      <w:r w:rsidR="00EC6770">
        <w:rPr>
          <w:color w:val="3C3C3C"/>
        </w:rPr>
        <w:t>para atraer y optimizar la inversión</w:t>
      </w:r>
      <w:r w:rsidR="006A036C">
        <w:rPr>
          <w:color w:val="3C3C3C"/>
        </w:rPr>
        <w:t xml:space="preserve">, gracias a la compartición entre los diferentes agentes y al impacto en el número creciente de usuarios. </w:t>
      </w:r>
      <w:r w:rsidR="00451130">
        <w:rPr>
          <w:color w:val="3C3C3C"/>
        </w:rPr>
        <w:t xml:space="preserve">Asimismo, las compañías colaborativas </w:t>
      </w:r>
      <w:r w:rsidR="004F27FB">
        <w:rPr>
          <w:color w:val="3C3C3C"/>
        </w:rPr>
        <w:t xml:space="preserve">necesitan una visión compartida, liderazgo en todos los niveles de la organización, continuidad y </w:t>
      </w:r>
      <w:r w:rsidR="0009309D">
        <w:rPr>
          <w:color w:val="3C3C3C"/>
        </w:rPr>
        <w:t>esfuerzo, y un ecosistema basado en un entorno de confianza con objetivos similares para los participantes.</w:t>
      </w:r>
      <w:r w:rsidR="00451130">
        <w:rPr>
          <w:color w:val="3C3C3C"/>
        </w:rPr>
        <w:t xml:space="preserve"> </w:t>
      </w:r>
    </w:p>
    <w:p w14:paraId="29D10EA4" w14:textId="77777777" w:rsidR="0003042E" w:rsidRDefault="0003042E" w:rsidP="00682393">
      <w:pPr>
        <w:jc w:val="both"/>
        <w:rPr>
          <w:color w:val="3C3C3C"/>
        </w:rPr>
      </w:pPr>
    </w:p>
    <w:p w14:paraId="46405FD9" w14:textId="302A08B9" w:rsidR="0068321A" w:rsidRDefault="00D02848" w:rsidP="00D34E9B">
      <w:pPr>
        <w:jc w:val="both"/>
        <w:rPr>
          <w:b/>
          <w:color w:val="3C3C3C"/>
        </w:rPr>
      </w:pPr>
      <w:r>
        <w:rPr>
          <w:b/>
          <w:color w:val="3C3C3C"/>
        </w:rPr>
        <w:t>Estrategia</w:t>
      </w:r>
      <w:r w:rsidR="0003042E">
        <w:rPr>
          <w:b/>
          <w:color w:val="3C3C3C"/>
        </w:rPr>
        <w:t xml:space="preserve"> de las empresas colaborativas</w:t>
      </w:r>
    </w:p>
    <w:p w14:paraId="6D560485" w14:textId="17F8485F" w:rsidR="0003042E" w:rsidRDefault="0003042E" w:rsidP="00D34E9B">
      <w:pPr>
        <w:jc w:val="both"/>
        <w:rPr>
          <w:b/>
          <w:color w:val="3C3C3C"/>
        </w:rPr>
      </w:pPr>
    </w:p>
    <w:p w14:paraId="3F0E5D0C" w14:textId="501E4F99" w:rsidR="00011F92" w:rsidRDefault="00480C38" w:rsidP="00D34E9B">
      <w:pPr>
        <w:jc w:val="both"/>
        <w:rPr>
          <w:color w:val="3C3C3C"/>
        </w:rPr>
      </w:pPr>
      <w:r>
        <w:rPr>
          <w:color w:val="3C3C3C"/>
        </w:rPr>
        <w:t>La primera cuestión estratégica es</w:t>
      </w:r>
      <w:r w:rsidR="00011F92">
        <w:rPr>
          <w:color w:val="3C3C3C"/>
        </w:rPr>
        <w:t xml:space="preserve"> saber cuál va a ser la posición competitiva respecto a las plataformas</w:t>
      </w:r>
      <w:r w:rsidR="00423962">
        <w:rPr>
          <w:color w:val="3C3C3C"/>
        </w:rPr>
        <w:t>. Es decir, es necesario conocer si quieren ser</w:t>
      </w:r>
      <w:r w:rsidR="00011F92">
        <w:rPr>
          <w:color w:val="3C3C3C"/>
        </w:rPr>
        <w:t xml:space="preserve"> socio</w:t>
      </w:r>
      <w:r w:rsidR="00423962">
        <w:rPr>
          <w:color w:val="3C3C3C"/>
        </w:rPr>
        <w:t>s</w:t>
      </w:r>
      <w:r w:rsidR="00011F92">
        <w:rPr>
          <w:color w:val="3C3C3C"/>
        </w:rPr>
        <w:t xml:space="preserve"> de referencia, competidor</w:t>
      </w:r>
      <w:r w:rsidR="00423962">
        <w:rPr>
          <w:color w:val="3C3C3C"/>
        </w:rPr>
        <w:t>es</w:t>
      </w:r>
      <w:r w:rsidR="00011F92">
        <w:rPr>
          <w:color w:val="3C3C3C"/>
        </w:rPr>
        <w:t>, suministrador</w:t>
      </w:r>
      <w:r w:rsidR="00423962">
        <w:rPr>
          <w:color w:val="3C3C3C"/>
        </w:rPr>
        <w:t>es</w:t>
      </w:r>
      <w:r w:rsidR="00011F92">
        <w:rPr>
          <w:color w:val="3C3C3C"/>
        </w:rPr>
        <w:t xml:space="preserve">, etc. En segundo </w:t>
      </w:r>
      <w:r w:rsidR="00075E31">
        <w:rPr>
          <w:color w:val="3C3C3C"/>
        </w:rPr>
        <w:t>lugar,</w:t>
      </w:r>
      <w:r w:rsidR="00011F92">
        <w:rPr>
          <w:color w:val="3C3C3C"/>
        </w:rPr>
        <w:t xml:space="preserve"> hay que identificar los activos relacionados con los datos, para poder gestionar una estrategia para gestionarlos y expórtalos.</w:t>
      </w:r>
    </w:p>
    <w:p w14:paraId="1D1FFC03" w14:textId="77777777" w:rsidR="00011F92" w:rsidRDefault="00011F92" w:rsidP="00D34E9B">
      <w:pPr>
        <w:jc w:val="both"/>
        <w:rPr>
          <w:color w:val="3C3C3C"/>
        </w:rPr>
      </w:pPr>
    </w:p>
    <w:p w14:paraId="7E1C31B6" w14:textId="04EDDF2D" w:rsidR="00075E31" w:rsidRDefault="00EC6770" w:rsidP="00D34E9B">
      <w:pPr>
        <w:jc w:val="both"/>
        <w:rPr>
          <w:color w:val="3C3C3C"/>
        </w:rPr>
      </w:pPr>
      <w:r>
        <w:rPr>
          <w:color w:val="3C3C3C"/>
        </w:rPr>
        <w:lastRenderedPageBreak/>
        <w:t>No obstante,</w:t>
      </w:r>
      <w:r w:rsidR="00075E31">
        <w:rPr>
          <w:color w:val="3C3C3C"/>
        </w:rPr>
        <w:t xml:space="preserve"> la prioridad esencial para competir en este nuevo entorno es invertir en un modelo de gobernanza para atraer a socios y poder compartir de una manera más activa la inversión que se necesita para adaptarse.</w:t>
      </w:r>
    </w:p>
    <w:p w14:paraId="2FB28CD7" w14:textId="6FD1DA76" w:rsidR="00772126" w:rsidRDefault="00772126" w:rsidP="00D34E9B">
      <w:pPr>
        <w:jc w:val="both"/>
        <w:rPr>
          <w:color w:val="3C3C3C"/>
        </w:rPr>
      </w:pPr>
    </w:p>
    <w:p w14:paraId="60B6D035" w14:textId="62E723F8" w:rsidR="00772126" w:rsidRDefault="00772126" w:rsidP="00D34E9B">
      <w:pPr>
        <w:jc w:val="both"/>
        <w:rPr>
          <w:color w:val="3C3C3C"/>
        </w:rPr>
      </w:pPr>
      <w:r>
        <w:rPr>
          <w:color w:val="3C3C3C"/>
        </w:rPr>
        <w:t>El modelo de gobierno debe contar con tres elementos clave: objetivos a corto, medio y largo plazo; un modelo de trabajo conjunto y productivo, así como un sistema de protección de la prioridad intelectual.</w:t>
      </w:r>
    </w:p>
    <w:p w14:paraId="400B2CAB" w14:textId="07BD724B" w:rsidR="00772126" w:rsidRDefault="00772126" w:rsidP="00D34E9B">
      <w:pPr>
        <w:jc w:val="both"/>
        <w:rPr>
          <w:color w:val="3C3C3C"/>
        </w:rPr>
      </w:pPr>
    </w:p>
    <w:p w14:paraId="09D65661" w14:textId="610ED47D" w:rsidR="00772126" w:rsidRDefault="000D7B22" w:rsidP="00D34E9B">
      <w:pPr>
        <w:jc w:val="both"/>
        <w:rPr>
          <w:color w:val="3C3C3C"/>
        </w:rPr>
      </w:pPr>
      <w:r>
        <w:rPr>
          <w:color w:val="3C3C3C"/>
        </w:rPr>
        <w:t>Además</w:t>
      </w:r>
      <w:r w:rsidR="00772126">
        <w:rPr>
          <w:color w:val="3C3C3C"/>
        </w:rPr>
        <w:t xml:space="preserve">, para tratar de tener éxito en la gestión del ecosistema </w:t>
      </w:r>
      <w:r w:rsidR="00EC6770">
        <w:rPr>
          <w:color w:val="3C3C3C"/>
        </w:rPr>
        <w:t>son necesarios</w:t>
      </w:r>
      <w:r w:rsidR="00772126">
        <w:rPr>
          <w:color w:val="3C3C3C"/>
        </w:rPr>
        <w:t xml:space="preserve"> nuevos principios como </w:t>
      </w:r>
      <w:r>
        <w:rPr>
          <w:color w:val="3C3C3C"/>
        </w:rPr>
        <w:t>la evolución y adaptación constante; m</w:t>
      </w:r>
      <w:r w:rsidR="00EC6770">
        <w:rPr>
          <w:color w:val="3C3C3C"/>
        </w:rPr>
        <w:t>ayor</w:t>
      </w:r>
      <w:r>
        <w:rPr>
          <w:color w:val="3C3C3C"/>
        </w:rPr>
        <w:t xml:space="preserve"> liderazgo y gestión; simplicidad, transparencia y confianza.</w:t>
      </w:r>
    </w:p>
    <w:p w14:paraId="593523DC" w14:textId="66AD82D7" w:rsidR="000D7B22" w:rsidRDefault="000D7B22" w:rsidP="00D34E9B">
      <w:pPr>
        <w:jc w:val="both"/>
        <w:rPr>
          <w:color w:val="3C3C3C"/>
        </w:rPr>
      </w:pPr>
    </w:p>
    <w:p w14:paraId="29815CBB" w14:textId="34977E57" w:rsidR="000D7B22" w:rsidRDefault="000D7B22" w:rsidP="00D34E9B">
      <w:pPr>
        <w:jc w:val="both"/>
        <w:rPr>
          <w:color w:val="3C3C3C"/>
        </w:rPr>
      </w:pPr>
      <w:r>
        <w:rPr>
          <w:color w:val="3C3C3C"/>
        </w:rPr>
        <w:t>Igualmente, hace</w:t>
      </w:r>
      <w:r w:rsidR="00EC6770">
        <w:rPr>
          <w:color w:val="3C3C3C"/>
        </w:rPr>
        <w:t>n</w:t>
      </w:r>
      <w:r>
        <w:rPr>
          <w:color w:val="3C3C3C"/>
        </w:rPr>
        <w:t xml:space="preserve"> falta proyectos tractores que </w:t>
      </w:r>
      <w:r w:rsidR="0009329C">
        <w:rPr>
          <w:color w:val="3C3C3C"/>
        </w:rPr>
        <w:t>sea</w:t>
      </w:r>
      <w:r>
        <w:rPr>
          <w:color w:val="3C3C3C"/>
        </w:rPr>
        <w:t xml:space="preserve">n capaces de aglutinar oferta y demanda en torno a una visión compartida y de largo plazo. En este contexto, AMETIC tiene la oportunidad de convertirse en la plataforma que impulse un ecosistema innovador. </w:t>
      </w:r>
    </w:p>
    <w:p w14:paraId="440FEE81" w14:textId="3BE8E460" w:rsidR="0068321A" w:rsidRPr="000D7B22" w:rsidRDefault="0068321A" w:rsidP="00D34E9B">
      <w:pPr>
        <w:jc w:val="both"/>
        <w:rPr>
          <w:color w:val="3C3C3C"/>
        </w:rPr>
      </w:pPr>
    </w:p>
    <w:p w14:paraId="1994D7BE" w14:textId="2EA9D2FD" w:rsidR="00D34E9B" w:rsidRDefault="00D34E9B" w:rsidP="00D34E9B">
      <w:pPr>
        <w:jc w:val="both"/>
        <w:rPr>
          <w:b/>
          <w:color w:val="3C3C3C"/>
        </w:rPr>
      </w:pPr>
      <w:r>
        <w:rPr>
          <w:b/>
          <w:color w:val="3C3C3C"/>
        </w:rPr>
        <w:t>Grupo de reflexión</w:t>
      </w:r>
      <w:r w:rsidRPr="008973DA">
        <w:rPr>
          <w:b/>
          <w:color w:val="3C3C3C"/>
        </w:rPr>
        <w:t xml:space="preserve"> de AMETIC</w:t>
      </w:r>
    </w:p>
    <w:p w14:paraId="72EEFE63" w14:textId="77777777" w:rsidR="00D34E9B" w:rsidRPr="008973DA" w:rsidRDefault="00D34E9B" w:rsidP="00D34E9B">
      <w:pPr>
        <w:jc w:val="both"/>
        <w:rPr>
          <w:b/>
          <w:color w:val="3C3C3C"/>
        </w:rPr>
      </w:pPr>
    </w:p>
    <w:p w14:paraId="7E2540E7" w14:textId="77777777" w:rsidR="00D34E9B" w:rsidRDefault="00D34E9B" w:rsidP="00D34E9B">
      <w:pPr>
        <w:jc w:val="both"/>
        <w:rPr>
          <w:color w:val="3C3C3C"/>
        </w:rPr>
      </w:pPr>
      <w:r>
        <w:rPr>
          <w:color w:val="3C3C3C"/>
        </w:rPr>
        <w:t xml:space="preserve">La patronal de la industria digital AMETIC, a través de su presidente, Pedro Mier, invitó a un grupo de profesionales del ámbito académico y empresarial, de gran prestigio, para crear un grupo de reflexión que debatiera sobre el impacto de la digitalización en el sector industrial en España. </w:t>
      </w:r>
    </w:p>
    <w:p w14:paraId="7637D68D" w14:textId="77777777" w:rsidR="00D34E9B" w:rsidRDefault="00D34E9B" w:rsidP="00D34E9B">
      <w:pPr>
        <w:jc w:val="both"/>
        <w:rPr>
          <w:color w:val="3C3C3C"/>
        </w:rPr>
      </w:pPr>
    </w:p>
    <w:p w14:paraId="572ECA25" w14:textId="77777777" w:rsidR="00D34E9B" w:rsidRPr="00780FA7" w:rsidRDefault="00D34E9B" w:rsidP="00D34E9B">
      <w:pPr>
        <w:jc w:val="both"/>
        <w:rPr>
          <w:color w:val="3C3C3C"/>
        </w:rPr>
      </w:pPr>
      <w:r>
        <w:rPr>
          <w:color w:val="3C3C3C"/>
        </w:rPr>
        <w:t xml:space="preserve">El objetivo de este grupo es elaborar reflexiones </w:t>
      </w:r>
      <w:r w:rsidRPr="00780FA7">
        <w:rPr>
          <w:color w:val="3C3C3C"/>
        </w:rPr>
        <w:t>sobre temas relacionados con la reindustrialización y</w:t>
      </w:r>
      <w:r>
        <w:rPr>
          <w:color w:val="3C3C3C"/>
        </w:rPr>
        <w:t xml:space="preserve"> sus profundas conexiones con el resto de los asuntos de la economía, así como</w:t>
      </w:r>
      <w:r w:rsidRPr="00780FA7">
        <w:rPr>
          <w:color w:val="3C3C3C"/>
        </w:rPr>
        <w:t xml:space="preserve"> </w:t>
      </w:r>
      <w:r>
        <w:rPr>
          <w:color w:val="3C3C3C"/>
        </w:rPr>
        <w:t xml:space="preserve">sensibilizar a la opinión pública y dar recomendaciones a </w:t>
      </w:r>
      <w:r w:rsidRPr="00780FA7">
        <w:rPr>
          <w:color w:val="3C3C3C"/>
        </w:rPr>
        <w:t>Gobiernos, Administraciones, Empresas, Instituciones, medios de comunicación, etc</w:t>
      </w:r>
      <w:r>
        <w:rPr>
          <w:color w:val="3C3C3C"/>
        </w:rPr>
        <w:t>., en este sentido.</w:t>
      </w:r>
    </w:p>
    <w:p w14:paraId="390DCF13" w14:textId="77777777" w:rsidR="00D34E9B" w:rsidRDefault="00D34E9B" w:rsidP="00D34E9B">
      <w:pPr>
        <w:jc w:val="both"/>
        <w:rPr>
          <w:color w:val="3C3C3C"/>
        </w:rPr>
      </w:pPr>
    </w:p>
    <w:p w14:paraId="61CDD960" w14:textId="77777777" w:rsidR="00D34E9B" w:rsidRPr="00501B21" w:rsidRDefault="00D34E9B" w:rsidP="00D34E9B">
      <w:pPr>
        <w:jc w:val="both"/>
        <w:rPr>
          <w:color w:val="3C3C3C"/>
        </w:rPr>
      </w:pPr>
      <w:r>
        <w:rPr>
          <w:color w:val="3C3C3C"/>
        </w:rPr>
        <w:t>Actualmente,</w:t>
      </w:r>
      <w:r w:rsidRPr="00183735">
        <w:rPr>
          <w:color w:val="3C3C3C"/>
        </w:rPr>
        <w:t xml:space="preserve"> </w:t>
      </w:r>
      <w:r>
        <w:rPr>
          <w:color w:val="3C3C3C"/>
        </w:rPr>
        <w:t xml:space="preserve">el Grupo de Reflexión de AMETIC está formado por 11 personas: Xavier Castillo, </w:t>
      </w:r>
      <w:r w:rsidRPr="008B6F3F">
        <w:rPr>
          <w:color w:val="3C3C3C"/>
        </w:rPr>
        <w:t>Antón Costas</w:t>
      </w:r>
      <w:r>
        <w:rPr>
          <w:color w:val="3C3C3C"/>
        </w:rPr>
        <w:t xml:space="preserve">, </w:t>
      </w:r>
      <w:r w:rsidRPr="00183735">
        <w:rPr>
          <w:color w:val="3C3C3C"/>
        </w:rPr>
        <w:t>Guillermo Dorronsoro</w:t>
      </w:r>
      <w:r>
        <w:rPr>
          <w:color w:val="3C3C3C"/>
        </w:rPr>
        <w:t xml:space="preserve">, </w:t>
      </w:r>
      <w:r w:rsidRPr="00501B21">
        <w:rPr>
          <w:color w:val="3C3C3C"/>
        </w:rPr>
        <w:t xml:space="preserve">Emma Fernandez, </w:t>
      </w:r>
      <w:r w:rsidRPr="00183735">
        <w:rPr>
          <w:color w:val="3C3C3C"/>
        </w:rPr>
        <w:t xml:space="preserve">Xavier </w:t>
      </w:r>
      <w:proofErr w:type="spellStart"/>
      <w:r w:rsidRPr="00183735">
        <w:rPr>
          <w:color w:val="3C3C3C"/>
        </w:rPr>
        <w:t>Ferrás</w:t>
      </w:r>
      <w:proofErr w:type="spellEnd"/>
      <w:r w:rsidRPr="00183735">
        <w:rPr>
          <w:color w:val="3C3C3C"/>
        </w:rPr>
        <w:t>,</w:t>
      </w:r>
      <w:r>
        <w:rPr>
          <w:color w:val="3C3C3C"/>
        </w:rPr>
        <w:t xml:space="preserve"> </w:t>
      </w:r>
      <w:r w:rsidRPr="00183735">
        <w:rPr>
          <w:color w:val="3C3C3C"/>
        </w:rPr>
        <w:t>Francisco Marín</w:t>
      </w:r>
      <w:r>
        <w:rPr>
          <w:color w:val="3C3C3C"/>
        </w:rPr>
        <w:t xml:space="preserve">, </w:t>
      </w:r>
      <w:r w:rsidRPr="00183735">
        <w:rPr>
          <w:color w:val="3C3C3C"/>
        </w:rPr>
        <w:t xml:space="preserve">Pedro Mier, </w:t>
      </w:r>
      <w:r w:rsidRPr="00501B21">
        <w:rPr>
          <w:color w:val="3C3C3C"/>
        </w:rPr>
        <w:t xml:space="preserve">Elena </w:t>
      </w:r>
      <w:proofErr w:type="spellStart"/>
      <w:r w:rsidRPr="00501B21">
        <w:rPr>
          <w:color w:val="3C3C3C"/>
        </w:rPr>
        <w:t>Pisonero</w:t>
      </w:r>
      <w:proofErr w:type="spellEnd"/>
      <w:r w:rsidRPr="00501B21">
        <w:rPr>
          <w:color w:val="3C3C3C"/>
        </w:rPr>
        <w:t>, Sara de la Rica, Felipe Romera</w:t>
      </w:r>
      <w:r>
        <w:rPr>
          <w:color w:val="3C3C3C"/>
        </w:rPr>
        <w:t xml:space="preserve"> y </w:t>
      </w:r>
      <w:r w:rsidRPr="00501B21">
        <w:rPr>
          <w:color w:val="3C3C3C"/>
        </w:rPr>
        <w:t xml:space="preserve">Ana </w:t>
      </w:r>
      <w:proofErr w:type="spellStart"/>
      <w:r w:rsidRPr="00501B21">
        <w:rPr>
          <w:color w:val="3C3C3C"/>
        </w:rPr>
        <w:t>Ursua</w:t>
      </w:r>
      <w:proofErr w:type="spellEnd"/>
      <w:r>
        <w:rPr>
          <w:color w:val="3C3C3C"/>
        </w:rPr>
        <w:t xml:space="preserve">. </w:t>
      </w:r>
    </w:p>
    <w:p w14:paraId="31193109" w14:textId="77777777" w:rsidR="00D34E9B" w:rsidRDefault="00D34E9B" w:rsidP="00D34E9B">
      <w:pPr>
        <w:jc w:val="both"/>
        <w:rPr>
          <w:color w:val="3C3C3C"/>
        </w:rPr>
      </w:pPr>
    </w:p>
    <w:p w14:paraId="19EC4EB9" w14:textId="377FBEEE" w:rsidR="00D34E9B" w:rsidRDefault="00D34E9B" w:rsidP="00A248B7">
      <w:pPr>
        <w:jc w:val="both"/>
        <w:rPr>
          <w:color w:val="3C3C3C"/>
        </w:rPr>
      </w:pPr>
      <w:r w:rsidRPr="00B924F1">
        <w:rPr>
          <w:color w:val="3C3C3C"/>
        </w:rPr>
        <w:t xml:space="preserve">A través de este enlace se puede descargar la </w:t>
      </w:r>
      <w:r>
        <w:rPr>
          <w:color w:val="3C3C3C"/>
        </w:rPr>
        <w:t xml:space="preserve">quinta píldora </w:t>
      </w:r>
      <w:r w:rsidR="006A26B6">
        <w:t xml:space="preserve">en </w:t>
      </w:r>
      <w:hyperlink r:id="rId7" w:history="1">
        <w:r w:rsidR="006A26B6" w:rsidRPr="006A26B6">
          <w:rPr>
            <w:rStyle w:val="Textoennegrita"/>
            <w:b w:val="0"/>
            <w:bCs w:val="0"/>
            <w:color w:val="0000FF"/>
            <w:u w:val="single"/>
          </w:rPr>
          <w:t>este enlace</w:t>
        </w:r>
      </w:hyperlink>
      <w:bookmarkStart w:id="0" w:name="_GoBack"/>
      <w:bookmarkEnd w:id="0"/>
    </w:p>
    <w:bookmarkStart w:id="1" w:name="_gjdgxs" w:colFirst="0" w:colLast="0"/>
    <w:bookmarkEnd w:id="1"/>
    <w:p w14:paraId="17797131" w14:textId="77777777" w:rsidR="004C7D06" w:rsidRDefault="00316BC4">
      <w:pPr>
        <w:jc w:val="both"/>
      </w:pPr>
      <w:r>
        <w:rPr>
          <w:noProof/>
        </w:rPr>
        <mc:AlternateContent>
          <mc:Choice Requires="wps">
            <w:drawing>
              <wp:anchor distT="45720" distB="45720" distL="114300" distR="114300" simplePos="0" relativeHeight="251658240" behindDoc="0" locked="0" layoutInCell="1" hidden="0" allowOverlap="1" wp14:anchorId="20CD3508" wp14:editId="0070B6E3">
                <wp:simplePos x="0" y="0"/>
                <wp:positionH relativeFrom="margin">
                  <wp:align>left</wp:align>
                </wp:positionH>
                <wp:positionV relativeFrom="paragraph">
                  <wp:posOffset>274320</wp:posOffset>
                </wp:positionV>
                <wp:extent cx="5751830" cy="2209800"/>
                <wp:effectExtent l="0" t="0" r="20320" b="1905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751830" cy="220980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4C7D06" w:rsidRDefault="00316BC4">
                            <w:pPr>
                              <w:jc w:val="both"/>
                              <w:textDirection w:val="btLr"/>
                            </w:pPr>
                            <w:r>
                              <w:rPr>
                                <w:b/>
                                <w:color w:val="3C3C3C"/>
                                <w:sz w:val="18"/>
                              </w:rPr>
                              <w:t>Sobre AMETIC</w:t>
                            </w:r>
                          </w:p>
                          <w:p w14:paraId="0B1FECA5" w14:textId="77777777" w:rsidR="004C7D06" w:rsidRDefault="004C7D06">
                            <w:pPr>
                              <w:jc w:val="both"/>
                              <w:textDirection w:val="btLr"/>
                            </w:pPr>
                          </w:p>
                          <w:p w14:paraId="62C63541" w14:textId="77777777" w:rsidR="004C7D06" w:rsidRDefault="00316BC4">
                            <w:pPr>
                              <w:jc w:val="both"/>
                              <w:textDirection w:val="btLr"/>
                            </w:pPr>
                            <w:r>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Pr>
                                <w:color w:val="3C3C3C"/>
                                <w:sz w:val="18"/>
                              </w:rPr>
                              <w:t>hipersector</w:t>
                            </w:r>
                            <w:proofErr w:type="spellEnd"/>
                            <w:r>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Default="00316BC4">
                            <w:pPr>
                              <w:jc w:val="both"/>
                              <w:textDirection w:val="btLr"/>
                            </w:pPr>
                            <w:r>
                              <w:rPr>
                                <w:color w:val="3C3C3C"/>
                                <w:sz w:val="18"/>
                              </w:rPr>
                              <w:br/>
                              <w:t xml:space="preserve">Más información: </w:t>
                            </w:r>
                            <w:r>
                              <w:rPr>
                                <w:color w:val="3C3C3C"/>
                                <w:sz w:val="18"/>
                                <w:u w:val="single"/>
                              </w:rPr>
                              <w:t>www.ametic.es</w:t>
                            </w:r>
                            <w:r>
                              <w:rPr>
                                <w:color w:val="3C3C3C"/>
                                <w:sz w:val="18"/>
                              </w:rPr>
                              <w:t xml:space="preserve"> </w:t>
                            </w:r>
                          </w:p>
                          <w:p w14:paraId="3D496B9C" w14:textId="77777777" w:rsidR="004C7D06" w:rsidRDefault="004C7D0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0;margin-top:21.6pt;width:452.9pt;height:17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" fillcolor="#eeece1 [3203]" strokecolor="#3c3c3c">
                <v:stroke startarrowwidth="narrow" startarrowlength="short" endarrowwidth="narrow" endarrowlength="short"/>
                <v:textbox inset="2.53958mm,1.2694mm,2.53958mm,1.2694mm">
                  <w:txbxContent>
                    <w:p w14:paraId="63674070" w14:textId="77777777" w:rsidR="004C7D06" w:rsidRDefault="00316BC4">
                      <w:pPr>
                        <w:jc w:val="both"/>
                        <w:textDirection w:val="btLr"/>
                      </w:pPr>
                      <w:r>
                        <w:rPr>
                          <w:b/>
                          <w:color w:val="3C3C3C"/>
                          <w:sz w:val="18"/>
                        </w:rPr>
                        <w:t>Sobre AMETIC</w:t>
                      </w:r>
                    </w:p>
                    <w:p w14:paraId="0B1FECA5" w14:textId="77777777" w:rsidR="004C7D06" w:rsidRDefault="004C7D06">
                      <w:pPr>
                        <w:jc w:val="both"/>
                        <w:textDirection w:val="btLr"/>
                      </w:pPr>
                    </w:p>
                    <w:p w14:paraId="62C63541" w14:textId="77777777" w:rsidR="004C7D06" w:rsidRDefault="00316BC4">
                      <w:pPr>
                        <w:jc w:val="both"/>
                        <w:textDirection w:val="btLr"/>
                      </w:pPr>
                      <w:r>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Pr>
                          <w:color w:val="3C3C3C"/>
                          <w:sz w:val="18"/>
                        </w:rPr>
                        <w:t>hipersector</w:t>
                      </w:r>
                      <w:proofErr w:type="spellEnd"/>
                      <w:r>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8F5EB1B" w14:textId="77777777" w:rsidR="004C7D06" w:rsidRDefault="00316BC4">
                      <w:pPr>
                        <w:jc w:val="both"/>
                        <w:textDirection w:val="btLr"/>
                      </w:pPr>
                      <w:r>
                        <w:rPr>
                          <w:color w:val="3C3C3C"/>
                          <w:sz w:val="18"/>
                        </w:rPr>
                        <w:br/>
                        <w:t xml:space="preserve">Más información: </w:t>
                      </w:r>
                      <w:r>
                        <w:rPr>
                          <w:color w:val="3C3C3C"/>
                          <w:sz w:val="18"/>
                          <w:u w:val="single"/>
                        </w:rPr>
                        <w:t>www.ametic.es</w:t>
                      </w:r>
                      <w:r>
                        <w:rPr>
                          <w:color w:val="3C3C3C"/>
                          <w:sz w:val="18"/>
                        </w:rPr>
                        <w:t xml:space="preserve"> </w:t>
                      </w:r>
                    </w:p>
                    <w:p w14:paraId="3D496B9C" w14:textId="77777777" w:rsidR="004C7D06" w:rsidRDefault="004C7D06">
                      <w:pPr>
                        <w:textDirection w:val="btLr"/>
                      </w:pPr>
                    </w:p>
                  </w:txbxContent>
                </v:textbox>
                <w10:wrap type="square" anchorx="margin"/>
              </v:rect>
            </w:pict>
          </mc:Fallback>
        </mc:AlternateContent>
      </w:r>
    </w:p>
    <w:p w14:paraId="28F829A9" w14:textId="77777777" w:rsidR="004C7D06" w:rsidRDefault="004C7D06">
      <w:pPr>
        <w:jc w:val="center"/>
        <w:rPr>
          <w:b/>
          <w:color w:val="3C3C3C"/>
          <w:sz w:val="20"/>
          <w:szCs w:val="20"/>
        </w:rPr>
      </w:pPr>
    </w:p>
    <w:p w14:paraId="53630F76" w14:textId="654078E2" w:rsidR="004C7D06" w:rsidRDefault="00316BC4">
      <w:pPr>
        <w:jc w:val="center"/>
        <w:rPr>
          <w:color w:val="3C3C3C"/>
          <w:sz w:val="20"/>
          <w:szCs w:val="20"/>
        </w:rPr>
      </w:pPr>
      <w:r>
        <w:rPr>
          <w:b/>
          <w:color w:val="3C3C3C"/>
          <w:sz w:val="20"/>
          <w:szCs w:val="20"/>
        </w:rPr>
        <w:lastRenderedPageBreak/>
        <w:t xml:space="preserve">Más información: </w:t>
      </w:r>
      <w:proofErr w:type="spellStart"/>
      <w:r>
        <w:rPr>
          <w:b/>
          <w:color w:val="3C3C3C"/>
          <w:sz w:val="20"/>
          <w:szCs w:val="20"/>
        </w:rPr>
        <w:t>Roman</w:t>
      </w:r>
      <w:proofErr w:type="spellEnd"/>
      <w:r>
        <w:rPr>
          <w:b/>
          <w:color w:val="3C3C3C"/>
          <w:sz w:val="20"/>
          <w:szCs w:val="20"/>
        </w:rPr>
        <w:t xml:space="preserve">. </w:t>
      </w:r>
      <w:r>
        <w:rPr>
          <w:color w:val="3C3C3C"/>
          <w:sz w:val="20"/>
          <w:szCs w:val="20"/>
        </w:rPr>
        <w:t>Tel. 91 591 55 00</w:t>
      </w:r>
    </w:p>
    <w:p w14:paraId="1A54FE42" w14:textId="77777777" w:rsidR="004C7D06" w:rsidRDefault="00316BC4">
      <w:pPr>
        <w:jc w:val="center"/>
        <w:rPr>
          <w:color w:val="3C3C3C"/>
          <w:sz w:val="20"/>
          <w:szCs w:val="20"/>
          <w:u w:val="single"/>
        </w:rPr>
      </w:pPr>
      <w:r>
        <w:rPr>
          <w:b/>
          <w:color w:val="3C3C3C"/>
          <w:sz w:val="20"/>
          <w:szCs w:val="20"/>
        </w:rPr>
        <w:t xml:space="preserve">Carmen del Álamo: </w:t>
      </w:r>
      <w:r>
        <w:rPr>
          <w:sz w:val="20"/>
          <w:szCs w:val="20"/>
          <w:u w:val="single"/>
        </w:rPr>
        <w:t>c.delalamo@romanrm.com</w:t>
      </w:r>
    </w:p>
    <w:p w14:paraId="3AC7DF45" w14:textId="3432A0C6" w:rsidR="004C7D06" w:rsidRDefault="00316BC4">
      <w:pPr>
        <w:jc w:val="center"/>
        <w:rPr>
          <w:color w:val="3C3C3C"/>
        </w:rPr>
      </w:pPr>
      <w:r>
        <w:rPr>
          <w:b/>
          <w:color w:val="3C3C3C"/>
          <w:sz w:val="20"/>
          <w:szCs w:val="20"/>
        </w:rPr>
        <w:t xml:space="preserve">Manu Portocarrero: </w:t>
      </w:r>
      <w:hyperlink r:id="rId8">
        <w:r>
          <w:rPr>
            <w:color w:val="000000"/>
            <w:sz w:val="20"/>
            <w:szCs w:val="20"/>
            <w:u w:val="single"/>
          </w:rPr>
          <w:t>m.portocarrero@romanrm.com</w:t>
        </w:r>
      </w:hyperlink>
    </w:p>
    <w:sectPr w:rsidR="004C7D06">
      <w:headerReference w:type="default" r:id="rId9"/>
      <w:footerReference w:type="default" r:id="rId10"/>
      <w:pgSz w:w="11906" w:h="16838"/>
      <w:pgMar w:top="1843" w:right="1558" w:bottom="284" w:left="1540" w:header="568"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E649" w14:textId="77777777" w:rsidR="00A10397" w:rsidRDefault="00A10397">
      <w:r>
        <w:separator/>
      </w:r>
    </w:p>
  </w:endnote>
  <w:endnote w:type="continuationSeparator" w:id="0">
    <w:p w14:paraId="20D13F11" w14:textId="77777777" w:rsidR="00A10397" w:rsidRDefault="00A1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1ABA" w14:textId="77777777" w:rsidR="004C7D06" w:rsidRDefault="00316BC4">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0" locked="0" layoutInCell="1" hidden="0" allowOverlap="1" wp14:anchorId="7545DF00" wp14:editId="1488E935">
          <wp:simplePos x="0" y="0"/>
          <wp:positionH relativeFrom="column">
            <wp:posOffset>-568324</wp:posOffset>
          </wp:positionH>
          <wp:positionV relativeFrom="paragraph">
            <wp:posOffset>-289559</wp:posOffset>
          </wp:positionV>
          <wp:extent cx="7152005" cy="893088"/>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1165"/>
                  <a:stretch>
                    <a:fillRect/>
                  </a:stretch>
                </pic:blipFill>
                <pic:spPr>
                  <a:xfrm>
                    <a:off x="0" y="0"/>
                    <a:ext cx="7152005" cy="89308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7B72" w14:textId="77777777" w:rsidR="00A10397" w:rsidRDefault="00A10397">
      <w:r>
        <w:separator/>
      </w:r>
    </w:p>
  </w:footnote>
  <w:footnote w:type="continuationSeparator" w:id="0">
    <w:p w14:paraId="030E2F66" w14:textId="77777777" w:rsidR="00A10397" w:rsidRDefault="00A1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4907" w14:textId="77777777" w:rsidR="004C7D06" w:rsidRDefault="00316BC4">
    <w:pPr>
      <w:pBdr>
        <w:top w:val="nil"/>
        <w:left w:val="nil"/>
        <w:bottom w:val="nil"/>
        <w:right w:val="nil"/>
        <w:between w:val="nil"/>
      </w:pBdr>
      <w:tabs>
        <w:tab w:val="center" w:pos="4252"/>
        <w:tab w:val="right" w:pos="8504"/>
      </w:tabs>
      <w:rPr>
        <w:color w:val="000000"/>
      </w:rPr>
    </w:pPr>
    <w:r>
      <w:rPr>
        <w:color w:val="000000"/>
      </w:rPr>
      <w:t xml:space="preserve">         </w:t>
    </w:r>
    <w:r>
      <w:rPr>
        <w:noProof/>
      </w:rPr>
      <w:drawing>
        <wp:anchor distT="0" distB="0" distL="114300" distR="114300" simplePos="0" relativeHeight="251658240" behindDoc="0" locked="0" layoutInCell="1" hidden="0" allowOverlap="1" wp14:anchorId="07F624EC" wp14:editId="08F33506">
          <wp:simplePos x="0" y="0"/>
          <wp:positionH relativeFrom="column">
            <wp:posOffset>95251</wp:posOffset>
          </wp:positionH>
          <wp:positionV relativeFrom="paragraph">
            <wp:posOffset>-72389</wp:posOffset>
          </wp:positionV>
          <wp:extent cx="1290320" cy="58102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3283" t="20946" r="9912" b="30176"/>
                  <a:stretch>
                    <a:fillRect/>
                  </a:stretch>
                </pic:blipFill>
                <pic:spPr>
                  <a:xfrm>
                    <a:off x="0" y="0"/>
                    <a:ext cx="1290320"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11F92"/>
    <w:rsid w:val="0003042E"/>
    <w:rsid w:val="00055016"/>
    <w:rsid w:val="00075E31"/>
    <w:rsid w:val="0009309D"/>
    <w:rsid w:val="0009329C"/>
    <w:rsid w:val="0009383E"/>
    <w:rsid w:val="000D7B22"/>
    <w:rsid w:val="000D7E62"/>
    <w:rsid w:val="001126B5"/>
    <w:rsid w:val="00172BB6"/>
    <w:rsid w:val="001826FC"/>
    <w:rsid w:val="00184971"/>
    <w:rsid w:val="001D538C"/>
    <w:rsid w:val="001F40EA"/>
    <w:rsid w:val="00216809"/>
    <w:rsid w:val="002B1421"/>
    <w:rsid w:val="002B1726"/>
    <w:rsid w:val="003064BA"/>
    <w:rsid w:val="00316BC4"/>
    <w:rsid w:val="003A18D0"/>
    <w:rsid w:val="003A7871"/>
    <w:rsid w:val="003B7EFD"/>
    <w:rsid w:val="003D50D3"/>
    <w:rsid w:val="003D67C3"/>
    <w:rsid w:val="00423962"/>
    <w:rsid w:val="00451130"/>
    <w:rsid w:val="00470EEB"/>
    <w:rsid w:val="00480C38"/>
    <w:rsid w:val="004C5D8A"/>
    <w:rsid w:val="004C66DF"/>
    <w:rsid w:val="004C7D06"/>
    <w:rsid w:val="004F27FB"/>
    <w:rsid w:val="005403D8"/>
    <w:rsid w:val="00682393"/>
    <w:rsid w:val="0068321A"/>
    <w:rsid w:val="006A036C"/>
    <w:rsid w:val="006A26B6"/>
    <w:rsid w:val="006C14B0"/>
    <w:rsid w:val="006E1013"/>
    <w:rsid w:val="006E2883"/>
    <w:rsid w:val="006E7AE6"/>
    <w:rsid w:val="007542CA"/>
    <w:rsid w:val="007661CD"/>
    <w:rsid w:val="00772126"/>
    <w:rsid w:val="008074CE"/>
    <w:rsid w:val="00810EA6"/>
    <w:rsid w:val="0083411C"/>
    <w:rsid w:val="0084164D"/>
    <w:rsid w:val="008C4343"/>
    <w:rsid w:val="009A7397"/>
    <w:rsid w:val="009D00DC"/>
    <w:rsid w:val="00A10397"/>
    <w:rsid w:val="00A248B7"/>
    <w:rsid w:val="00A370E1"/>
    <w:rsid w:val="00AA31F2"/>
    <w:rsid w:val="00AF08EC"/>
    <w:rsid w:val="00B04F6C"/>
    <w:rsid w:val="00B37E3B"/>
    <w:rsid w:val="00B44FAD"/>
    <w:rsid w:val="00BD5880"/>
    <w:rsid w:val="00C04A60"/>
    <w:rsid w:val="00C1655A"/>
    <w:rsid w:val="00C2776A"/>
    <w:rsid w:val="00C36C68"/>
    <w:rsid w:val="00C6308F"/>
    <w:rsid w:val="00C8334C"/>
    <w:rsid w:val="00CF5CA7"/>
    <w:rsid w:val="00D02848"/>
    <w:rsid w:val="00D339EA"/>
    <w:rsid w:val="00D34E9B"/>
    <w:rsid w:val="00DD360D"/>
    <w:rsid w:val="00E47D38"/>
    <w:rsid w:val="00E61E7D"/>
    <w:rsid w:val="00E858C4"/>
    <w:rsid w:val="00EB3025"/>
    <w:rsid w:val="00EB5082"/>
    <w:rsid w:val="00EC6770"/>
    <w:rsid w:val="00F030D7"/>
    <w:rsid w:val="00F20689"/>
    <w:rsid w:val="00FA03EE"/>
    <w:rsid w:val="00FD61AC"/>
    <w:rsid w:val="00FD6C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styleId="Mencinsinresolver">
    <w:name w:val="Unresolved Mention"/>
    <w:basedOn w:val="Fuentedeprrafopredeter"/>
    <w:uiPriority w:val="99"/>
    <w:semiHidden/>
    <w:unhideWhenUsed/>
    <w:rsid w:val="00C2776A"/>
    <w:rPr>
      <w:color w:val="605E5C"/>
      <w:shd w:val="clear" w:color="auto" w:fill="E1DFDD"/>
    </w:rPr>
  </w:style>
  <w:style w:type="paragraph" w:styleId="Prrafodelista">
    <w:name w:val="List Paragraph"/>
    <w:basedOn w:val="Normal"/>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character" w:styleId="Textoennegrita">
    <w:name w:val="Strong"/>
    <w:basedOn w:val="Fuentedeprrafopredeter"/>
    <w:uiPriority w:val="22"/>
    <w:qFormat/>
    <w:rsid w:val="006A2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portocarrero@romanrm.com" TargetMode="External"/><Relationship Id="rId3" Type="http://schemas.openxmlformats.org/officeDocument/2006/relationships/settings" Target="settings.xml"/><Relationship Id="rId7" Type="http://schemas.openxmlformats.org/officeDocument/2006/relationships/hyperlink" Target="https://ametic.es/es/nuevos-paradigmas-de-colaboracion-de-la-innovacion-abierta-la-innovacion-en-platafor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Jiménez</dc:creator>
  <cp:lastModifiedBy>Manuel Moreno</cp:lastModifiedBy>
  <cp:revision>3</cp:revision>
  <dcterms:created xsi:type="dcterms:W3CDTF">2019-10-23T08:56:00Z</dcterms:created>
  <dcterms:modified xsi:type="dcterms:W3CDTF">2019-10-23T08:59:00Z</dcterms:modified>
</cp:coreProperties>
</file>