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3700" w14:textId="15571813" w:rsidR="00AA6A3B" w:rsidRDefault="00AA6A3B" w:rsidP="00AA6A3B">
      <w:pPr>
        <w:rPr>
          <w:rFonts w:eastAsiaTheme="minorHAnsi"/>
          <w:b/>
          <w:color w:val="1C71B8"/>
          <w:sz w:val="28"/>
          <w:szCs w:val="42"/>
          <w:lang w:eastAsia="en-US"/>
        </w:rPr>
      </w:pPr>
    </w:p>
    <w:p w14:paraId="65E8FBB5" w14:textId="1051A256" w:rsidR="00AA6A3B" w:rsidRPr="00AA6A3B" w:rsidRDefault="00AA6A3B" w:rsidP="00AA6A3B">
      <w:pPr>
        <w:jc w:val="center"/>
        <w:rPr>
          <w:rFonts w:eastAsiaTheme="minorHAnsi"/>
          <w:b/>
          <w:color w:val="000000" w:themeColor="text1"/>
          <w:szCs w:val="22"/>
          <w:u w:val="single"/>
          <w:lang w:eastAsia="en-US"/>
        </w:rPr>
      </w:pPr>
      <w:r w:rsidRPr="00AA6A3B">
        <w:rPr>
          <w:rFonts w:eastAsiaTheme="minorHAnsi"/>
          <w:b/>
          <w:color w:val="000000" w:themeColor="text1"/>
          <w:szCs w:val="22"/>
          <w:u w:val="single"/>
          <w:lang w:eastAsia="en-US"/>
        </w:rPr>
        <w:t>Tras dos años de vigencia del Manifiesto, la patronal y los sindicatos han renovado y ampliado su compromiso por el</w:t>
      </w:r>
      <w:r w:rsidR="00827D9C" w:rsidRPr="00827D9C">
        <w:rPr>
          <w:rFonts w:eastAsiaTheme="minorHAnsi"/>
          <w:b/>
          <w:color w:val="000000" w:themeColor="text1"/>
          <w:szCs w:val="22"/>
          <w:u w:val="single"/>
          <w:lang w:eastAsia="en-US"/>
        </w:rPr>
        <w:t xml:space="preserve"> desarrollo del Talento para la transformación digital.</w:t>
      </w:r>
    </w:p>
    <w:p w14:paraId="5D047E23" w14:textId="77777777" w:rsidR="00AA6A3B" w:rsidRPr="00AA6A3B" w:rsidRDefault="00AA6A3B" w:rsidP="00AA6A3B">
      <w:pPr>
        <w:rPr>
          <w:rFonts w:eastAsiaTheme="minorHAnsi"/>
          <w:b/>
          <w:color w:val="1C71B8"/>
          <w:sz w:val="28"/>
          <w:szCs w:val="42"/>
          <w:lang w:eastAsia="en-US"/>
        </w:rPr>
      </w:pPr>
    </w:p>
    <w:p w14:paraId="15B1AB83" w14:textId="6DBAD1CE" w:rsidR="00AA6A3B" w:rsidRPr="00AA6A3B" w:rsidRDefault="00AA6A3B" w:rsidP="00AA6A3B">
      <w:pPr>
        <w:jc w:val="center"/>
        <w:rPr>
          <w:rFonts w:eastAsiaTheme="minorHAnsi"/>
          <w:b/>
          <w:color w:val="1C71B8"/>
          <w:sz w:val="40"/>
          <w:szCs w:val="40"/>
          <w:lang w:eastAsia="en-US"/>
        </w:rPr>
      </w:pPr>
      <w:r w:rsidRPr="00AA6A3B">
        <w:rPr>
          <w:rFonts w:eastAsiaTheme="minorHAnsi"/>
          <w:b/>
          <w:color w:val="1C71B8"/>
          <w:sz w:val="40"/>
          <w:szCs w:val="40"/>
          <w:lang w:eastAsia="en-US"/>
        </w:rPr>
        <w:t>AMETIC, UGT y CCOO apuestan por una transformación digital mediante el desarrollo del talento</w:t>
      </w:r>
    </w:p>
    <w:p w14:paraId="616B0E7A" w14:textId="77777777" w:rsidR="00AA6A3B" w:rsidRPr="00AA6A3B" w:rsidRDefault="00AA6A3B" w:rsidP="00AA6A3B">
      <w:pPr>
        <w:jc w:val="both"/>
        <w:rPr>
          <w:rFonts w:eastAsiaTheme="minorHAnsi"/>
          <w:b/>
          <w:color w:val="1C71B8"/>
          <w:szCs w:val="22"/>
          <w:lang w:eastAsia="en-US"/>
        </w:rPr>
      </w:pPr>
    </w:p>
    <w:p w14:paraId="55BB96FE" w14:textId="7395D9A5" w:rsidR="00AA6A3B" w:rsidRDefault="00AA6A3B" w:rsidP="00AA6A3B">
      <w:pPr>
        <w:numPr>
          <w:ilvl w:val="0"/>
          <w:numId w:val="12"/>
        </w:numPr>
        <w:jc w:val="both"/>
        <w:rPr>
          <w:rFonts w:eastAsiaTheme="minorHAnsi"/>
          <w:b/>
          <w:color w:val="1C71B8"/>
          <w:szCs w:val="22"/>
          <w:lang w:eastAsia="en-US"/>
        </w:rPr>
      </w:pPr>
      <w:r w:rsidRPr="00AA6A3B">
        <w:rPr>
          <w:rFonts w:eastAsiaTheme="minorHAnsi"/>
          <w:b/>
          <w:color w:val="1C71B8"/>
          <w:szCs w:val="22"/>
          <w:lang w:eastAsia="en-US"/>
        </w:rPr>
        <w:t xml:space="preserve">En esta </w:t>
      </w:r>
      <w:r>
        <w:rPr>
          <w:rFonts w:eastAsiaTheme="minorHAnsi"/>
          <w:b/>
          <w:color w:val="1C71B8"/>
          <w:szCs w:val="22"/>
          <w:lang w:eastAsia="en-US"/>
        </w:rPr>
        <w:t>nueva</w:t>
      </w:r>
      <w:r w:rsidRPr="00AA6A3B">
        <w:rPr>
          <w:rFonts w:eastAsiaTheme="minorHAnsi"/>
          <w:b/>
          <w:color w:val="1C71B8"/>
          <w:szCs w:val="22"/>
          <w:lang w:eastAsia="en-US"/>
        </w:rPr>
        <w:t xml:space="preserve"> versión</w:t>
      </w:r>
      <w:r>
        <w:rPr>
          <w:rFonts w:eastAsiaTheme="minorHAnsi"/>
          <w:b/>
          <w:color w:val="1C71B8"/>
          <w:szCs w:val="22"/>
          <w:lang w:eastAsia="en-US"/>
        </w:rPr>
        <w:t xml:space="preserve"> del acuerdo</w:t>
      </w:r>
      <w:r w:rsidRPr="00AA6A3B">
        <w:rPr>
          <w:rFonts w:eastAsiaTheme="minorHAnsi"/>
          <w:b/>
          <w:color w:val="1C71B8"/>
          <w:szCs w:val="22"/>
          <w:lang w:eastAsia="en-US"/>
        </w:rPr>
        <w:t>,</w:t>
      </w:r>
      <w:r>
        <w:rPr>
          <w:rFonts w:eastAsiaTheme="minorHAnsi"/>
          <w:b/>
          <w:color w:val="1C71B8"/>
          <w:szCs w:val="22"/>
          <w:lang w:eastAsia="en-US"/>
        </w:rPr>
        <w:t xml:space="preserve"> AMETIC,</w:t>
      </w:r>
      <w:r w:rsidRPr="00AA6A3B">
        <w:rPr>
          <w:rFonts w:eastAsiaTheme="minorHAnsi"/>
          <w:b/>
          <w:color w:val="1C71B8"/>
          <w:szCs w:val="22"/>
          <w:lang w:eastAsia="en-US"/>
        </w:rPr>
        <w:t xml:space="preserve"> UGT</w:t>
      </w:r>
      <w:r>
        <w:rPr>
          <w:rFonts w:eastAsiaTheme="minorHAnsi"/>
          <w:b/>
          <w:color w:val="1C71B8"/>
          <w:szCs w:val="22"/>
          <w:lang w:eastAsia="en-US"/>
        </w:rPr>
        <w:t xml:space="preserve"> y</w:t>
      </w:r>
      <w:r w:rsidRPr="00AA6A3B">
        <w:rPr>
          <w:rFonts w:eastAsiaTheme="minorHAnsi"/>
          <w:b/>
          <w:color w:val="1C71B8"/>
          <w:szCs w:val="22"/>
          <w:lang w:eastAsia="en-US"/>
        </w:rPr>
        <w:t xml:space="preserve"> CCOO quieren destacar la necesidad de cerrar la Brecha de Género en educación, formación y empleo</w:t>
      </w:r>
      <w:r w:rsidR="002465BB">
        <w:rPr>
          <w:rFonts w:eastAsiaTheme="minorHAnsi"/>
          <w:b/>
          <w:color w:val="1C71B8"/>
          <w:szCs w:val="22"/>
          <w:lang w:eastAsia="en-US"/>
        </w:rPr>
        <w:t>, así como destacar</w:t>
      </w:r>
      <w:r w:rsidRPr="00AA6A3B">
        <w:rPr>
          <w:rFonts w:eastAsiaTheme="minorHAnsi"/>
          <w:b/>
          <w:color w:val="1C71B8"/>
          <w:szCs w:val="22"/>
          <w:lang w:eastAsia="en-US"/>
        </w:rPr>
        <w:t xml:space="preserve"> la emergencia para acometer las necesidades empresariales en competencias digitales de calidad y la obligación de reformar la educación y la formación para adaptarse a la nueva sociedad digital.</w:t>
      </w:r>
    </w:p>
    <w:p w14:paraId="10B4E1D3" w14:textId="77777777" w:rsidR="00AA6A3B" w:rsidRPr="00AA6A3B" w:rsidRDefault="00AA6A3B" w:rsidP="00AA6A3B">
      <w:pPr>
        <w:jc w:val="both"/>
        <w:rPr>
          <w:rFonts w:eastAsiaTheme="minorHAnsi"/>
          <w:b/>
          <w:color w:val="1C71B8"/>
          <w:szCs w:val="22"/>
          <w:lang w:eastAsia="en-US"/>
        </w:rPr>
      </w:pPr>
    </w:p>
    <w:p w14:paraId="189C6E42" w14:textId="5A8CECC5" w:rsidR="00AA6A3B" w:rsidRPr="00AA6A3B" w:rsidRDefault="00AA6A3B" w:rsidP="00AA6A3B">
      <w:pPr>
        <w:numPr>
          <w:ilvl w:val="0"/>
          <w:numId w:val="12"/>
        </w:numPr>
        <w:jc w:val="both"/>
        <w:rPr>
          <w:rFonts w:eastAsiaTheme="minorHAnsi"/>
          <w:b/>
          <w:color w:val="1C71B8"/>
          <w:szCs w:val="22"/>
          <w:lang w:eastAsia="en-US"/>
        </w:rPr>
      </w:pPr>
      <w:r w:rsidRPr="00AA6A3B">
        <w:rPr>
          <w:rFonts w:eastAsiaTheme="minorHAnsi"/>
          <w:b/>
          <w:color w:val="1C71B8"/>
          <w:szCs w:val="22"/>
          <w:lang w:eastAsia="en-US"/>
        </w:rPr>
        <w:t>Las tres organizaciones hacen un llamamiento a Administraciones Públicas, legisladores, reguladores y partidos políticos para que tengan en cuenta las carencias presentes y futuras de</w:t>
      </w:r>
      <w:r w:rsidR="00052029">
        <w:rPr>
          <w:rFonts w:eastAsiaTheme="minorHAnsi"/>
          <w:b/>
          <w:color w:val="1C71B8"/>
          <w:szCs w:val="22"/>
          <w:lang w:eastAsia="en-US"/>
        </w:rPr>
        <w:t>l</w:t>
      </w:r>
      <w:r w:rsidRPr="00AA6A3B">
        <w:rPr>
          <w:rFonts w:eastAsiaTheme="minorHAnsi"/>
          <w:b/>
          <w:color w:val="1C71B8"/>
          <w:szCs w:val="22"/>
          <w:lang w:eastAsia="en-US"/>
        </w:rPr>
        <w:t xml:space="preserve"> mercado de trabajo en términos de desarrollo digital. </w:t>
      </w:r>
    </w:p>
    <w:p w14:paraId="1D5D32DA" w14:textId="77777777" w:rsidR="00D41214" w:rsidRDefault="00D41214" w:rsidP="006F6FB9">
      <w:pPr>
        <w:jc w:val="both"/>
        <w:rPr>
          <w:b/>
          <w:i/>
          <w:color w:val="3C3C3C"/>
          <w:sz w:val="20"/>
        </w:rPr>
      </w:pPr>
    </w:p>
    <w:p w14:paraId="4D128EA7" w14:textId="6FEFE3A0" w:rsidR="00AA6A3B" w:rsidRPr="00827D9C" w:rsidRDefault="009B5CD4" w:rsidP="00AA6A3B">
      <w:pPr>
        <w:jc w:val="both"/>
        <w:rPr>
          <w:color w:val="3C3C3C"/>
          <w:szCs w:val="22"/>
        </w:rPr>
      </w:pPr>
      <w:r w:rsidRPr="00827D9C">
        <w:rPr>
          <w:b/>
          <w:i/>
          <w:color w:val="3C3C3C"/>
          <w:szCs w:val="22"/>
        </w:rPr>
        <w:t>Madrid</w:t>
      </w:r>
      <w:r w:rsidR="00BD28A2" w:rsidRPr="00827D9C">
        <w:rPr>
          <w:b/>
          <w:i/>
          <w:color w:val="3C3C3C"/>
          <w:szCs w:val="22"/>
        </w:rPr>
        <w:t xml:space="preserve">, </w:t>
      </w:r>
      <w:r w:rsidR="00C449EA" w:rsidRPr="00827D9C">
        <w:rPr>
          <w:b/>
          <w:i/>
          <w:color w:val="3C3C3C"/>
          <w:szCs w:val="22"/>
        </w:rPr>
        <w:t>0</w:t>
      </w:r>
      <w:r w:rsidR="00827D9C" w:rsidRPr="00827D9C">
        <w:rPr>
          <w:b/>
          <w:i/>
          <w:color w:val="3C3C3C"/>
          <w:szCs w:val="22"/>
        </w:rPr>
        <w:t>9</w:t>
      </w:r>
      <w:r w:rsidR="00402622" w:rsidRPr="00827D9C">
        <w:rPr>
          <w:i/>
          <w:szCs w:val="22"/>
        </w:rPr>
        <w:t xml:space="preserve"> </w:t>
      </w:r>
      <w:r w:rsidR="00BD28A2" w:rsidRPr="00827D9C">
        <w:rPr>
          <w:b/>
          <w:i/>
          <w:color w:val="3C3C3C"/>
          <w:szCs w:val="22"/>
        </w:rPr>
        <w:t xml:space="preserve">de </w:t>
      </w:r>
      <w:r w:rsidR="007937A9" w:rsidRPr="00827D9C">
        <w:rPr>
          <w:b/>
          <w:i/>
          <w:color w:val="3C3C3C"/>
          <w:szCs w:val="22"/>
        </w:rPr>
        <w:t>abril</w:t>
      </w:r>
      <w:r w:rsidRPr="00827D9C">
        <w:rPr>
          <w:b/>
          <w:i/>
          <w:color w:val="3C3C3C"/>
          <w:szCs w:val="22"/>
        </w:rPr>
        <w:t xml:space="preserve"> de 2019</w:t>
      </w:r>
      <w:r w:rsidR="00BD28A2" w:rsidRPr="00827D9C">
        <w:rPr>
          <w:b/>
          <w:i/>
          <w:color w:val="3C3C3C"/>
          <w:szCs w:val="22"/>
        </w:rPr>
        <w:t>.-</w:t>
      </w:r>
      <w:r w:rsidR="00BD28A2" w:rsidRPr="00827D9C">
        <w:rPr>
          <w:rFonts w:ascii="Verdana" w:hAnsi="Verdana"/>
          <w:color w:val="000000" w:themeColor="text1"/>
          <w:szCs w:val="22"/>
        </w:rPr>
        <w:t xml:space="preserve"> </w:t>
      </w:r>
      <w:r w:rsidR="003D2919" w:rsidRPr="00827D9C">
        <w:rPr>
          <w:color w:val="3C3C3C"/>
          <w:szCs w:val="22"/>
        </w:rPr>
        <w:t>AMETIC,</w:t>
      </w:r>
      <w:r w:rsidR="00502892" w:rsidRPr="00827D9C">
        <w:rPr>
          <w:color w:val="3C3C3C"/>
          <w:szCs w:val="22"/>
        </w:rPr>
        <w:t xml:space="preserve"> la</w:t>
      </w:r>
      <w:r w:rsidR="006F6FB9" w:rsidRPr="00827D9C">
        <w:rPr>
          <w:color w:val="3C3C3C"/>
          <w:szCs w:val="22"/>
        </w:rPr>
        <w:t xml:space="preserve"> patronal </w:t>
      </w:r>
      <w:r w:rsidR="0023621C" w:rsidRPr="00827D9C">
        <w:rPr>
          <w:color w:val="3C3C3C"/>
          <w:szCs w:val="22"/>
        </w:rPr>
        <w:t>de la industria digital</w:t>
      </w:r>
      <w:r w:rsidRPr="00827D9C">
        <w:rPr>
          <w:color w:val="3C3C3C"/>
          <w:szCs w:val="22"/>
        </w:rPr>
        <w:t>,</w:t>
      </w:r>
      <w:r w:rsidR="00502892" w:rsidRPr="00827D9C">
        <w:rPr>
          <w:color w:val="3C3C3C"/>
          <w:szCs w:val="22"/>
        </w:rPr>
        <w:t xml:space="preserve"> </w:t>
      </w:r>
      <w:r w:rsidR="00AA6A3B" w:rsidRPr="00827D9C">
        <w:rPr>
          <w:color w:val="3C3C3C"/>
          <w:szCs w:val="22"/>
        </w:rPr>
        <w:t>junto con los sindicatos</w:t>
      </w:r>
      <w:r w:rsidR="00AA6A3B" w:rsidRPr="00827D9C">
        <w:rPr>
          <w:color w:val="000000" w:themeColor="text1"/>
          <w:szCs w:val="22"/>
        </w:rPr>
        <w:t xml:space="preserve"> UGT y CCOO, presentan una nueva versión de su </w:t>
      </w:r>
      <w:hyperlink r:id="rId8" w:history="1">
        <w:r w:rsidR="00AA6A3B" w:rsidRPr="006948B8">
          <w:rPr>
            <w:rStyle w:val="Hipervnculo"/>
            <w:b/>
            <w:i/>
            <w:szCs w:val="22"/>
          </w:rPr>
          <w:t>Manifiesto por el liderazgo de la transformación digital de la economía española mediante el desarrollo del talento</w:t>
        </w:r>
        <w:r w:rsidR="00AA6A3B" w:rsidRPr="006948B8">
          <w:rPr>
            <w:rStyle w:val="Hipervnculo"/>
            <w:szCs w:val="22"/>
          </w:rPr>
          <w:t>.</w:t>
        </w:r>
      </w:hyperlink>
      <w:bookmarkStart w:id="0" w:name="_GoBack"/>
      <w:bookmarkEnd w:id="0"/>
    </w:p>
    <w:p w14:paraId="4B996308" w14:textId="77777777" w:rsidR="00AA6A3B" w:rsidRPr="00827D9C" w:rsidRDefault="00AA6A3B" w:rsidP="00AA6A3B">
      <w:pPr>
        <w:jc w:val="both"/>
        <w:rPr>
          <w:color w:val="000000" w:themeColor="text1"/>
          <w:szCs w:val="22"/>
        </w:rPr>
      </w:pPr>
    </w:p>
    <w:p w14:paraId="5FDA55B4" w14:textId="6B642CB6" w:rsidR="00AA6A3B" w:rsidRPr="00827D9C" w:rsidRDefault="00AA6A3B" w:rsidP="00AA6A3B">
      <w:pPr>
        <w:jc w:val="both"/>
        <w:rPr>
          <w:color w:val="000000" w:themeColor="text1"/>
          <w:szCs w:val="22"/>
        </w:rPr>
      </w:pPr>
      <w:r w:rsidRPr="00827D9C">
        <w:rPr>
          <w:color w:val="000000" w:themeColor="text1"/>
          <w:szCs w:val="22"/>
        </w:rPr>
        <w:t xml:space="preserve">Las tres organizaciones han refrendado su compromiso con el citado Manifiesto, que no sólo reitera los compromisos adquiridos, sino que los amplía y refuerza a nuevos ejes prioritarios: </w:t>
      </w:r>
      <w:r w:rsidRPr="00827D9C">
        <w:rPr>
          <w:szCs w:val="22"/>
        </w:rPr>
        <w:t>superar la Brecha de género en educación, formación y empleo STEM; impulso de la industria: necesidades empresariales en competencias digitales y empleo de calidad, y educación y formación para una sociedad digital</w:t>
      </w:r>
      <w:r w:rsidR="00052029" w:rsidRPr="00827D9C">
        <w:rPr>
          <w:szCs w:val="22"/>
        </w:rPr>
        <w:t>.</w:t>
      </w:r>
    </w:p>
    <w:p w14:paraId="2B0CC290" w14:textId="77777777" w:rsidR="00AA6A3B" w:rsidRPr="00827D9C" w:rsidRDefault="00AA6A3B" w:rsidP="00AA6A3B">
      <w:pPr>
        <w:jc w:val="both"/>
        <w:rPr>
          <w:szCs w:val="22"/>
        </w:rPr>
      </w:pPr>
    </w:p>
    <w:p w14:paraId="44BBC2A4" w14:textId="2390CE87" w:rsidR="00AA6A3B" w:rsidRPr="00827D9C" w:rsidRDefault="00AA6A3B" w:rsidP="00AA6A3B">
      <w:pPr>
        <w:jc w:val="both"/>
        <w:rPr>
          <w:szCs w:val="22"/>
        </w:rPr>
      </w:pPr>
      <w:r w:rsidRPr="00827D9C">
        <w:rPr>
          <w:szCs w:val="22"/>
        </w:rPr>
        <w:t>Para el primero de ellos, se remarca la preocu</w:t>
      </w:r>
      <w:r w:rsidRPr="00827D9C">
        <w:rPr>
          <w:color w:val="000000" w:themeColor="text1"/>
          <w:szCs w:val="22"/>
        </w:rPr>
        <w:t>pante</w:t>
      </w:r>
      <w:r w:rsidRPr="00827D9C">
        <w:rPr>
          <w:color w:val="FF0000"/>
          <w:szCs w:val="22"/>
        </w:rPr>
        <w:t xml:space="preserve"> </w:t>
      </w:r>
      <w:r w:rsidRPr="00827D9C">
        <w:rPr>
          <w:szCs w:val="22"/>
        </w:rPr>
        <w:t xml:space="preserve">situación de las mujeres en los empleos STEM, claramente infrarrepresentadas, para lo que </w:t>
      </w:r>
      <w:r w:rsidRPr="00827D9C">
        <w:rPr>
          <w:b/>
          <w:szCs w:val="22"/>
        </w:rPr>
        <w:t>se proponen seis acciones públicas y privadas con el objetivo de eliminar los obstáculos que tienen las mujeres</w:t>
      </w:r>
      <w:r w:rsidRPr="00827D9C">
        <w:rPr>
          <w:szCs w:val="22"/>
        </w:rPr>
        <w:t>, como desarrollar medidas específicas de género – por ejemplo becas formativas para mujeres- , así como propuestas para visibilizar a las mujeres directivas e incorporar proyectos integrales que superen las desigualdades de género durante el desarrollo profesional.</w:t>
      </w:r>
    </w:p>
    <w:p w14:paraId="4D1C2461" w14:textId="77777777" w:rsidR="00AA6A3B" w:rsidRPr="00827D9C" w:rsidRDefault="00AA6A3B" w:rsidP="00AA6A3B">
      <w:pPr>
        <w:jc w:val="both"/>
        <w:rPr>
          <w:szCs w:val="22"/>
        </w:rPr>
      </w:pPr>
    </w:p>
    <w:p w14:paraId="7226E6D1" w14:textId="1522436B" w:rsidR="00AA6A3B" w:rsidRPr="00827D9C" w:rsidRDefault="00AA6A3B" w:rsidP="00AA6A3B">
      <w:pPr>
        <w:jc w:val="both"/>
        <w:rPr>
          <w:szCs w:val="22"/>
        </w:rPr>
      </w:pPr>
      <w:r w:rsidRPr="00827D9C">
        <w:rPr>
          <w:szCs w:val="22"/>
        </w:rPr>
        <w:t xml:space="preserve">El </w:t>
      </w:r>
      <w:r w:rsidRPr="00827D9C">
        <w:rPr>
          <w:b/>
          <w:szCs w:val="22"/>
        </w:rPr>
        <w:t>impulso a la industria</w:t>
      </w:r>
      <w:r w:rsidRPr="00827D9C">
        <w:rPr>
          <w:szCs w:val="22"/>
        </w:rPr>
        <w:t xml:space="preserve"> se destaca como un elemento clave. España corre el riesgo de quedarse atrás sino se toman medidas decisivas y ambiciosas. En opinión de las tres organizaciones, es necesario pasar a la acción inmediatamente, porque si no se implementa un </w:t>
      </w:r>
      <w:r w:rsidRPr="00827D9C">
        <w:rPr>
          <w:b/>
          <w:szCs w:val="22"/>
        </w:rPr>
        <w:t>plan ambicioso que contemple la capacitación en competencias digitales,</w:t>
      </w:r>
      <w:r w:rsidRPr="00827D9C">
        <w:rPr>
          <w:szCs w:val="22"/>
        </w:rPr>
        <w:t xml:space="preserve"> reforzando la importancia de la innovación tecnológica, la fuerza de trabajo no podrá adaptarse a los cambios de la digitalización. Sin un plan de estas características, el empleo será de peor calidad</w:t>
      </w:r>
      <w:r w:rsidRPr="00827D9C">
        <w:rPr>
          <w:color w:val="0070C0"/>
          <w:szCs w:val="22"/>
        </w:rPr>
        <w:t xml:space="preserve"> </w:t>
      </w:r>
      <w:r w:rsidRPr="00827D9C">
        <w:rPr>
          <w:szCs w:val="22"/>
        </w:rPr>
        <w:t>y los grupos vulnerables se verán especialmente afectados.</w:t>
      </w:r>
    </w:p>
    <w:p w14:paraId="5E81269A" w14:textId="77777777" w:rsidR="00052029" w:rsidRPr="00827D9C" w:rsidRDefault="00052029" w:rsidP="00AA6A3B">
      <w:pPr>
        <w:jc w:val="both"/>
        <w:rPr>
          <w:szCs w:val="22"/>
        </w:rPr>
      </w:pPr>
    </w:p>
    <w:p w14:paraId="5971C694" w14:textId="7D143893" w:rsidR="00AA6A3B" w:rsidRPr="00827D9C" w:rsidRDefault="00AA6A3B" w:rsidP="00AA6A3B">
      <w:pPr>
        <w:tabs>
          <w:tab w:val="left" w:pos="709"/>
        </w:tabs>
        <w:jc w:val="both"/>
        <w:rPr>
          <w:szCs w:val="22"/>
        </w:rPr>
      </w:pPr>
      <w:r w:rsidRPr="00827D9C">
        <w:rPr>
          <w:szCs w:val="22"/>
        </w:rPr>
        <w:t xml:space="preserve">La educación es la base que garantiza la adquisición de las capacidades necesarias para la vida y el trabajo. Por ello, es imprescindible una Alfabetización Digital plena, sin brechas ni diferencias. </w:t>
      </w:r>
      <w:r w:rsidRPr="00827D9C">
        <w:rPr>
          <w:color w:val="000000" w:themeColor="text1"/>
          <w:szCs w:val="22"/>
        </w:rPr>
        <w:t xml:space="preserve">En ese sentido, el documento </w:t>
      </w:r>
      <w:r w:rsidRPr="00827D9C">
        <w:rPr>
          <w:szCs w:val="22"/>
        </w:rPr>
        <w:t xml:space="preserve">propone colocar a la </w:t>
      </w:r>
      <w:r w:rsidRPr="00827D9C">
        <w:rPr>
          <w:b/>
          <w:szCs w:val="22"/>
        </w:rPr>
        <w:t>Formación Profesional</w:t>
      </w:r>
      <w:r w:rsidRPr="00827D9C">
        <w:rPr>
          <w:szCs w:val="22"/>
        </w:rPr>
        <w:t xml:space="preserve"> en el primer plano, gracias a su eficacia para responder adecuadamente a las demandas, necesidades y expectativas de todos los agentes involucrados. Además, es indispensable articular una auténtica </w:t>
      </w:r>
      <w:r w:rsidRPr="00827D9C">
        <w:rPr>
          <w:b/>
          <w:szCs w:val="22"/>
        </w:rPr>
        <w:t>formación profesional continua en el trabajo</w:t>
      </w:r>
      <w:r w:rsidRPr="00827D9C">
        <w:rPr>
          <w:szCs w:val="22"/>
        </w:rPr>
        <w:t>, diseñada mediante el diálogo social y en función de las necesidades reales, durante la jornada laboral.</w:t>
      </w:r>
    </w:p>
    <w:p w14:paraId="0BCB665A" w14:textId="1BB2CDC5" w:rsidR="00052029" w:rsidRPr="00827D9C" w:rsidRDefault="00052029" w:rsidP="00AA6A3B">
      <w:pPr>
        <w:tabs>
          <w:tab w:val="left" w:pos="709"/>
        </w:tabs>
        <w:jc w:val="both"/>
        <w:rPr>
          <w:szCs w:val="22"/>
        </w:rPr>
      </w:pPr>
    </w:p>
    <w:p w14:paraId="358CC0A7" w14:textId="73C7A872" w:rsidR="00052029" w:rsidRPr="00827D9C" w:rsidRDefault="00052029" w:rsidP="00AA6A3B">
      <w:pPr>
        <w:tabs>
          <w:tab w:val="left" w:pos="709"/>
        </w:tabs>
        <w:jc w:val="both"/>
        <w:rPr>
          <w:szCs w:val="22"/>
        </w:rPr>
      </w:pPr>
    </w:p>
    <w:p w14:paraId="4D961F30" w14:textId="77777777" w:rsidR="00052029" w:rsidRPr="00827D9C" w:rsidRDefault="00052029" w:rsidP="00AA6A3B">
      <w:pPr>
        <w:tabs>
          <w:tab w:val="left" w:pos="709"/>
        </w:tabs>
        <w:jc w:val="both"/>
        <w:rPr>
          <w:szCs w:val="22"/>
        </w:rPr>
      </w:pPr>
    </w:p>
    <w:p w14:paraId="7CDBEFE8" w14:textId="77777777" w:rsidR="00AA6A3B" w:rsidRPr="00827D9C" w:rsidRDefault="00AA6A3B" w:rsidP="00AA6A3B">
      <w:pPr>
        <w:jc w:val="both"/>
        <w:rPr>
          <w:szCs w:val="22"/>
        </w:rPr>
      </w:pPr>
      <w:r w:rsidRPr="00827D9C">
        <w:rPr>
          <w:szCs w:val="22"/>
        </w:rPr>
        <w:t>AMETIC, UGT y CCOO quieren enviar un mensaje claro y alto: el Diálogo Social es una herramienta útil e inexcusable para lograr una transformación digital completa, integral y justa. En consecuencia, las tres organizaciones hacen un llamamiento a Administraciones Públicas, legisladores, reguladores y partidos políticos para que tengan en cuenta las evidentes carencias presentes y futuras de nuestro mercado de trabajo en términos de desarrollo digital, tomando las iniciativas que proponen en el Manifiesto como una guía para colocar a nuestro país en la senda del liderazgo digital.</w:t>
      </w:r>
    </w:p>
    <w:p w14:paraId="41D74442" w14:textId="77777777" w:rsidR="00AA6A3B" w:rsidRDefault="00AA6A3B" w:rsidP="00E410D8">
      <w:pPr>
        <w:jc w:val="both"/>
        <w:rPr>
          <w:color w:val="3C3C3C"/>
          <w:sz w:val="20"/>
        </w:rPr>
      </w:pPr>
    </w:p>
    <w:p w14:paraId="5177D545" w14:textId="77777777" w:rsidR="00187E6A" w:rsidRDefault="009747BE" w:rsidP="00B84557">
      <w:pPr>
        <w:jc w:val="both"/>
      </w:pPr>
      <w:r>
        <w:rPr>
          <w:noProof/>
        </w:rPr>
        <mc:AlternateContent>
          <mc:Choice Requires="wps">
            <w:drawing>
              <wp:anchor distT="45720" distB="45720" distL="114300" distR="114300" simplePos="0" relativeHeight="251659264" behindDoc="0" locked="0" layoutInCell="1" allowOverlap="1" wp14:anchorId="27E84203" wp14:editId="14393A9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4203"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" fillcolor="#e7e6e6 [3214]" strokecolor="#3c3c3c">
                <v:textbox style="mso-fit-shape-to-text:t">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v:textbox>
                <w10:wrap type="square" anchorx="margin"/>
              </v:shape>
            </w:pict>
          </mc:Fallback>
        </mc:AlternateContent>
      </w:r>
    </w:p>
    <w:p w14:paraId="7D3D9EB7" w14:textId="77777777" w:rsidR="009B5CD4" w:rsidRPr="004C5FD8" w:rsidRDefault="009B5CD4" w:rsidP="009B5CD4">
      <w:pPr>
        <w:jc w:val="center"/>
        <w:rPr>
          <w:b/>
          <w:color w:val="3C3C3C"/>
          <w:sz w:val="20"/>
          <w:szCs w:val="20"/>
        </w:rPr>
      </w:pPr>
    </w:p>
    <w:p w14:paraId="3FFECCD7" w14:textId="77777777" w:rsidR="009B5CD4" w:rsidRPr="004C5FD8" w:rsidRDefault="009B5CD4" w:rsidP="009B5CD4">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14:paraId="2D051F69" w14:textId="77777777"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1">
        <w:r w:rsidRPr="004C5FD8">
          <w:rPr>
            <w:color w:val="3C3C3C"/>
            <w:sz w:val="20"/>
            <w:szCs w:val="20"/>
            <w:u w:val="single"/>
          </w:rPr>
          <w:t>c.delalamo@romanyasociados.es</w:t>
        </w:r>
      </w:hyperlink>
      <w:r w:rsidRPr="004C5FD8">
        <w:rPr>
          <w:color w:val="3C3C3C"/>
          <w:sz w:val="20"/>
          <w:szCs w:val="20"/>
          <w:u w:val="single"/>
        </w:rPr>
        <w:t xml:space="preserve"> </w:t>
      </w:r>
    </w:p>
    <w:p w14:paraId="3892C7AD" w14:textId="77777777" w:rsidR="009B5CD4" w:rsidRPr="004C5FD8" w:rsidRDefault="009B5CD4" w:rsidP="009B5CD4">
      <w:pPr>
        <w:jc w:val="center"/>
        <w:rPr>
          <w:color w:val="3C3C3C"/>
          <w:sz w:val="20"/>
          <w:szCs w:val="20"/>
        </w:rPr>
      </w:pPr>
      <w:r w:rsidRPr="004C5FD8">
        <w:rPr>
          <w:b/>
          <w:color w:val="3C3C3C"/>
          <w:sz w:val="20"/>
          <w:szCs w:val="20"/>
        </w:rPr>
        <w:t xml:space="preserve">Manu Portocarrero: </w:t>
      </w:r>
      <w:hyperlink r:id="rId12">
        <w:r w:rsidRPr="004C5FD8">
          <w:rPr>
            <w:color w:val="3C3C3C"/>
            <w:sz w:val="20"/>
            <w:szCs w:val="20"/>
            <w:u w:val="single"/>
          </w:rPr>
          <w:t>m.portocarrero@romanyasociados.es</w:t>
        </w:r>
      </w:hyperlink>
    </w:p>
    <w:p w14:paraId="72030B17" w14:textId="77777777" w:rsidR="00187E6A" w:rsidRPr="009B5CD4" w:rsidRDefault="00187E6A">
      <w:pPr>
        <w:rPr>
          <w:rStyle w:val="Hipervnculo"/>
          <w:b/>
          <w:color w:val="3C3C3C"/>
          <w:sz w:val="20"/>
          <w:u w:val="none"/>
        </w:rPr>
      </w:pPr>
    </w:p>
    <w:p w14:paraId="79CD69FD" w14:textId="77777777" w:rsidR="00BB5EA7" w:rsidRDefault="00BB5EA7"/>
    <w:p w14:paraId="5867F9D5" w14:textId="77777777" w:rsidR="00187E6A" w:rsidRPr="00F30CD0" w:rsidRDefault="00187E6A"/>
    <w:sectPr w:rsidR="00187E6A" w:rsidRPr="00F30CD0" w:rsidSect="00CE4739">
      <w:head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728C" w14:textId="77777777" w:rsidR="0010218C" w:rsidRDefault="0010218C" w:rsidP="00382D07">
      <w:r>
        <w:separator/>
      </w:r>
    </w:p>
  </w:endnote>
  <w:endnote w:type="continuationSeparator" w:id="0">
    <w:p w14:paraId="3787E968" w14:textId="77777777" w:rsidR="0010218C" w:rsidRDefault="0010218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BB7F" w14:textId="77777777" w:rsidR="0010218C" w:rsidRDefault="0010218C" w:rsidP="00382D07">
      <w:r>
        <w:separator/>
      </w:r>
    </w:p>
  </w:footnote>
  <w:footnote w:type="continuationSeparator" w:id="0">
    <w:p w14:paraId="0CBA4B82" w14:textId="77777777" w:rsidR="0010218C" w:rsidRDefault="0010218C"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1A1" w14:textId="284C8EBF" w:rsidR="005E6D15" w:rsidRDefault="00AA6A3B">
    <w:pPr>
      <w:pStyle w:val="Encabezado"/>
    </w:pPr>
    <w:r w:rsidRPr="00AA6A3B">
      <w:rPr>
        <w:noProof/>
      </w:rPr>
      <w:drawing>
        <wp:anchor distT="0" distB="0" distL="114300" distR="114300" simplePos="0" relativeHeight="251659264" behindDoc="0" locked="0" layoutInCell="1" allowOverlap="1" wp14:anchorId="69909A71" wp14:editId="345AAACC">
          <wp:simplePos x="0" y="0"/>
          <wp:positionH relativeFrom="column">
            <wp:posOffset>2362420</wp:posOffset>
          </wp:positionH>
          <wp:positionV relativeFrom="paragraph">
            <wp:posOffset>113030</wp:posOffset>
          </wp:positionV>
          <wp:extent cx="733582" cy="654808"/>
          <wp:effectExtent l="0" t="0" r="317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3582" cy="654808"/>
                  </a:xfrm>
                  <a:prstGeom prst="rect">
                    <a:avLst/>
                  </a:prstGeom>
                </pic:spPr>
              </pic:pic>
            </a:graphicData>
          </a:graphic>
          <wp14:sizeRelH relativeFrom="page">
            <wp14:pctWidth>0</wp14:pctWidth>
          </wp14:sizeRelH>
          <wp14:sizeRelV relativeFrom="page">
            <wp14:pctHeight>0</wp14:pctHeight>
          </wp14:sizeRelV>
        </wp:anchor>
      </w:drawing>
    </w:r>
    <w:r w:rsidR="00D6650F">
      <w:rPr>
        <w:noProof/>
      </w:rPr>
      <w:drawing>
        <wp:anchor distT="0" distB="0" distL="114300" distR="114300" simplePos="0" relativeHeight="251658240" behindDoc="1" locked="0" layoutInCell="1" allowOverlap="1" wp14:anchorId="5ADE6739" wp14:editId="212ACDAD">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510D6711" w14:textId="1C0D0A6F" w:rsidR="005E6D15" w:rsidRDefault="00AA6A3B" w:rsidP="00807D83">
    <w:pPr>
      <w:pStyle w:val="Encabezado"/>
      <w:tabs>
        <w:tab w:val="clear" w:pos="8504"/>
        <w:tab w:val="right" w:pos="8789"/>
      </w:tabs>
    </w:pPr>
    <w:r w:rsidRPr="00AA6A3B">
      <w:rPr>
        <w:noProof/>
      </w:rPr>
      <w:drawing>
        <wp:anchor distT="0" distB="0" distL="114300" distR="114300" simplePos="0" relativeHeight="251660288" behindDoc="0" locked="0" layoutInCell="1" allowOverlap="1" wp14:anchorId="0DE01978" wp14:editId="77C90F68">
          <wp:simplePos x="0" y="0"/>
          <wp:positionH relativeFrom="column">
            <wp:posOffset>4264182</wp:posOffset>
          </wp:positionH>
          <wp:positionV relativeFrom="paragraph">
            <wp:posOffset>114696</wp:posOffset>
          </wp:positionV>
          <wp:extent cx="1229309" cy="313468"/>
          <wp:effectExtent l="0" t="0" r="317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29309" cy="313468"/>
                  </a:xfrm>
                  <a:prstGeom prst="rect">
                    <a:avLst/>
                  </a:prstGeom>
                </pic:spPr>
              </pic:pic>
            </a:graphicData>
          </a:graphic>
          <wp14:sizeRelH relativeFrom="page">
            <wp14:pctWidth>0</wp14:pctWidth>
          </wp14:sizeRelH>
          <wp14:sizeRelV relativeFrom="page">
            <wp14:pctHeight>0</wp14:pctHeight>
          </wp14:sizeRelV>
        </wp:anchor>
      </w:drawing>
    </w:r>
  </w:p>
  <w:p w14:paraId="0A37DF41" w14:textId="6AB396F3" w:rsidR="005E6D15" w:rsidRDefault="005E6D15">
    <w:pPr>
      <w:pStyle w:val="Encabezado"/>
    </w:pPr>
  </w:p>
  <w:p w14:paraId="1C7C7F8E"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54A0DD8"/>
    <w:multiLevelType w:val="hybridMultilevel"/>
    <w:tmpl w:val="B5169D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E0E8B"/>
    <w:multiLevelType w:val="hybridMultilevel"/>
    <w:tmpl w:val="2BCE0BFC"/>
    <w:lvl w:ilvl="0" w:tplc="C262A266">
      <w:start w:val="1"/>
      <w:numFmt w:val="bullet"/>
      <w:lvlText w:val=""/>
      <w:lvlJc w:val="left"/>
      <w:pPr>
        <w:ind w:left="720" w:hanging="360"/>
      </w:pPr>
      <w:rPr>
        <w:rFonts w:ascii="Wingdings" w:hAnsi="Wingdings" w:hint="default"/>
        <w:color w:val="2E74B5" w:themeColor="accent1" w:themeShade="BF"/>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AF63BE"/>
    <w:multiLevelType w:val="hybridMultilevel"/>
    <w:tmpl w:val="5C7A1D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0092192"/>
    <w:multiLevelType w:val="hybridMultilevel"/>
    <w:tmpl w:val="EBA82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5EF45F5"/>
    <w:multiLevelType w:val="hybridMultilevel"/>
    <w:tmpl w:val="5AB43178"/>
    <w:lvl w:ilvl="0" w:tplc="E79E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7"/>
  </w:num>
  <w:num w:numId="10">
    <w:abstractNumId w:val="10"/>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1F48"/>
    <w:rsid w:val="00027921"/>
    <w:rsid w:val="00046C1E"/>
    <w:rsid w:val="00052029"/>
    <w:rsid w:val="00053C78"/>
    <w:rsid w:val="00056D3C"/>
    <w:rsid w:val="000800DF"/>
    <w:rsid w:val="00095C46"/>
    <w:rsid w:val="000C07AF"/>
    <w:rsid w:val="000C4F68"/>
    <w:rsid w:val="000D05C9"/>
    <w:rsid w:val="000E4D81"/>
    <w:rsid w:val="000F2421"/>
    <w:rsid w:val="0010218C"/>
    <w:rsid w:val="001407C0"/>
    <w:rsid w:val="00143464"/>
    <w:rsid w:val="00155E17"/>
    <w:rsid w:val="00166638"/>
    <w:rsid w:val="00181AA3"/>
    <w:rsid w:val="00187E6A"/>
    <w:rsid w:val="001A297D"/>
    <w:rsid w:val="001B50EC"/>
    <w:rsid w:val="001C3280"/>
    <w:rsid w:val="001D10F0"/>
    <w:rsid w:val="001F5314"/>
    <w:rsid w:val="002037C1"/>
    <w:rsid w:val="00205609"/>
    <w:rsid w:val="00220D2F"/>
    <w:rsid w:val="00225C5C"/>
    <w:rsid w:val="002267BF"/>
    <w:rsid w:val="0023621C"/>
    <w:rsid w:val="00240C59"/>
    <w:rsid w:val="00241E18"/>
    <w:rsid w:val="002465BB"/>
    <w:rsid w:val="00266FCC"/>
    <w:rsid w:val="0026790F"/>
    <w:rsid w:val="002714C8"/>
    <w:rsid w:val="00273769"/>
    <w:rsid w:val="002877AD"/>
    <w:rsid w:val="002C1A2E"/>
    <w:rsid w:val="002C3CD8"/>
    <w:rsid w:val="002E29E3"/>
    <w:rsid w:val="00300746"/>
    <w:rsid w:val="00303F76"/>
    <w:rsid w:val="003234B4"/>
    <w:rsid w:val="00365D58"/>
    <w:rsid w:val="00374054"/>
    <w:rsid w:val="00382D07"/>
    <w:rsid w:val="003B2416"/>
    <w:rsid w:val="003B6E19"/>
    <w:rsid w:val="003D12CD"/>
    <w:rsid w:val="003D2919"/>
    <w:rsid w:val="003F0BE6"/>
    <w:rsid w:val="00402622"/>
    <w:rsid w:val="004255C7"/>
    <w:rsid w:val="00432CDB"/>
    <w:rsid w:val="004333BB"/>
    <w:rsid w:val="004762E4"/>
    <w:rsid w:val="004B148F"/>
    <w:rsid w:val="004B4E9F"/>
    <w:rsid w:val="004B6E54"/>
    <w:rsid w:val="004C6F85"/>
    <w:rsid w:val="004E4172"/>
    <w:rsid w:val="004E7679"/>
    <w:rsid w:val="00501D51"/>
    <w:rsid w:val="00502892"/>
    <w:rsid w:val="005230F2"/>
    <w:rsid w:val="0052379B"/>
    <w:rsid w:val="005257D0"/>
    <w:rsid w:val="00534E07"/>
    <w:rsid w:val="00545988"/>
    <w:rsid w:val="00581B7A"/>
    <w:rsid w:val="005824AE"/>
    <w:rsid w:val="0058642F"/>
    <w:rsid w:val="00597A3F"/>
    <w:rsid w:val="005B58D5"/>
    <w:rsid w:val="005E6D15"/>
    <w:rsid w:val="00600B64"/>
    <w:rsid w:val="00616B4A"/>
    <w:rsid w:val="006255B3"/>
    <w:rsid w:val="00627F79"/>
    <w:rsid w:val="0064047C"/>
    <w:rsid w:val="00640980"/>
    <w:rsid w:val="00652A6B"/>
    <w:rsid w:val="00660FE9"/>
    <w:rsid w:val="00690FDC"/>
    <w:rsid w:val="006948B8"/>
    <w:rsid w:val="006F6FB9"/>
    <w:rsid w:val="00706D5A"/>
    <w:rsid w:val="0071400F"/>
    <w:rsid w:val="00715CB0"/>
    <w:rsid w:val="0072271B"/>
    <w:rsid w:val="00731300"/>
    <w:rsid w:val="00737C50"/>
    <w:rsid w:val="00746C65"/>
    <w:rsid w:val="00752229"/>
    <w:rsid w:val="00755774"/>
    <w:rsid w:val="007937A9"/>
    <w:rsid w:val="007D567B"/>
    <w:rsid w:val="0080200A"/>
    <w:rsid w:val="00805374"/>
    <w:rsid w:val="00807D83"/>
    <w:rsid w:val="00814653"/>
    <w:rsid w:val="00821C16"/>
    <w:rsid w:val="00826C59"/>
    <w:rsid w:val="00827D9C"/>
    <w:rsid w:val="00830F75"/>
    <w:rsid w:val="00853573"/>
    <w:rsid w:val="00856987"/>
    <w:rsid w:val="00864005"/>
    <w:rsid w:val="008730B1"/>
    <w:rsid w:val="00882691"/>
    <w:rsid w:val="0089048B"/>
    <w:rsid w:val="00893E1D"/>
    <w:rsid w:val="00894E89"/>
    <w:rsid w:val="008A67F6"/>
    <w:rsid w:val="008F772D"/>
    <w:rsid w:val="00904442"/>
    <w:rsid w:val="009226E1"/>
    <w:rsid w:val="00950221"/>
    <w:rsid w:val="00954E8E"/>
    <w:rsid w:val="009719C0"/>
    <w:rsid w:val="009727D5"/>
    <w:rsid w:val="009747BE"/>
    <w:rsid w:val="009879F5"/>
    <w:rsid w:val="009A2CB3"/>
    <w:rsid w:val="009B5CD4"/>
    <w:rsid w:val="009B5D79"/>
    <w:rsid w:val="009C2E89"/>
    <w:rsid w:val="009C6837"/>
    <w:rsid w:val="009D183A"/>
    <w:rsid w:val="00A07738"/>
    <w:rsid w:val="00A30111"/>
    <w:rsid w:val="00A41351"/>
    <w:rsid w:val="00A43524"/>
    <w:rsid w:val="00A46340"/>
    <w:rsid w:val="00A6053C"/>
    <w:rsid w:val="00AA257C"/>
    <w:rsid w:val="00AA45C8"/>
    <w:rsid w:val="00AA6A3B"/>
    <w:rsid w:val="00AB39CC"/>
    <w:rsid w:val="00AC6C42"/>
    <w:rsid w:val="00AD6889"/>
    <w:rsid w:val="00AE6AAF"/>
    <w:rsid w:val="00AF3FB3"/>
    <w:rsid w:val="00AF6739"/>
    <w:rsid w:val="00B12F93"/>
    <w:rsid w:val="00B3359E"/>
    <w:rsid w:val="00B466C4"/>
    <w:rsid w:val="00B74D8C"/>
    <w:rsid w:val="00B84557"/>
    <w:rsid w:val="00B9410D"/>
    <w:rsid w:val="00B9577D"/>
    <w:rsid w:val="00BB5EA7"/>
    <w:rsid w:val="00BD28A2"/>
    <w:rsid w:val="00BD56CC"/>
    <w:rsid w:val="00BE411F"/>
    <w:rsid w:val="00BE5C19"/>
    <w:rsid w:val="00C25EE3"/>
    <w:rsid w:val="00C31A74"/>
    <w:rsid w:val="00C449EA"/>
    <w:rsid w:val="00C72252"/>
    <w:rsid w:val="00C93AD6"/>
    <w:rsid w:val="00C94F74"/>
    <w:rsid w:val="00CA55A3"/>
    <w:rsid w:val="00CC2138"/>
    <w:rsid w:val="00CC60B7"/>
    <w:rsid w:val="00CE2167"/>
    <w:rsid w:val="00CE4739"/>
    <w:rsid w:val="00CF376B"/>
    <w:rsid w:val="00D204ED"/>
    <w:rsid w:val="00D354CF"/>
    <w:rsid w:val="00D40315"/>
    <w:rsid w:val="00D40E24"/>
    <w:rsid w:val="00D41214"/>
    <w:rsid w:val="00D50C9D"/>
    <w:rsid w:val="00D6650F"/>
    <w:rsid w:val="00D81D9A"/>
    <w:rsid w:val="00D8349B"/>
    <w:rsid w:val="00D8755D"/>
    <w:rsid w:val="00D940F1"/>
    <w:rsid w:val="00DC5E09"/>
    <w:rsid w:val="00DD4E38"/>
    <w:rsid w:val="00DD7307"/>
    <w:rsid w:val="00DF03FD"/>
    <w:rsid w:val="00DF1C0F"/>
    <w:rsid w:val="00DF4782"/>
    <w:rsid w:val="00DF4BB2"/>
    <w:rsid w:val="00E1128B"/>
    <w:rsid w:val="00E1652B"/>
    <w:rsid w:val="00E3508E"/>
    <w:rsid w:val="00E410D8"/>
    <w:rsid w:val="00E44FA2"/>
    <w:rsid w:val="00E462F2"/>
    <w:rsid w:val="00E62217"/>
    <w:rsid w:val="00E82934"/>
    <w:rsid w:val="00E973F3"/>
    <w:rsid w:val="00EA089F"/>
    <w:rsid w:val="00EB23B2"/>
    <w:rsid w:val="00EC3E92"/>
    <w:rsid w:val="00EC4E29"/>
    <w:rsid w:val="00ED6581"/>
    <w:rsid w:val="00EF470F"/>
    <w:rsid w:val="00F065D2"/>
    <w:rsid w:val="00F10F5E"/>
    <w:rsid w:val="00F16E58"/>
    <w:rsid w:val="00F30CD0"/>
    <w:rsid w:val="00F31E29"/>
    <w:rsid w:val="00F44C81"/>
    <w:rsid w:val="00F65DFD"/>
    <w:rsid w:val="00F9241C"/>
    <w:rsid w:val="00FA2B9B"/>
    <w:rsid w:val="00FB624A"/>
    <w:rsid w:val="00FB6E27"/>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0D86"/>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styleId="Refdecomentario">
    <w:name w:val="annotation reference"/>
    <w:basedOn w:val="Fuentedeprrafopredeter"/>
    <w:uiPriority w:val="99"/>
    <w:semiHidden/>
    <w:unhideWhenUsed/>
    <w:rsid w:val="00DF1C0F"/>
    <w:rPr>
      <w:sz w:val="16"/>
      <w:szCs w:val="16"/>
    </w:rPr>
  </w:style>
  <w:style w:type="paragraph" w:styleId="Textocomentario">
    <w:name w:val="annotation text"/>
    <w:basedOn w:val="Normal"/>
    <w:link w:val="TextocomentarioCar"/>
    <w:uiPriority w:val="99"/>
    <w:semiHidden/>
    <w:unhideWhenUsed/>
    <w:rsid w:val="00DF1C0F"/>
    <w:rPr>
      <w:sz w:val="20"/>
      <w:szCs w:val="20"/>
    </w:rPr>
  </w:style>
  <w:style w:type="character" w:customStyle="1" w:styleId="TextocomentarioCar">
    <w:name w:val="Texto comentario Car"/>
    <w:basedOn w:val="Fuentedeprrafopredeter"/>
    <w:link w:val="Textocomentario"/>
    <w:uiPriority w:val="99"/>
    <w:semiHidden/>
    <w:rsid w:val="00DF1C0F"/>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1C0F"/>
    <w:rPr>
      <w:b/>
      <w:bCs/>
    </w:rPr>
  </w:style>
  <w:style w:type="character" w:customStyle="1" w:styleId="AsuntodelcomentarioCar">
    <w:name w:val="Asunto del comentario Car"/>
    <w:basedOn w:val="TextocomentarioCar"/>
    <w:link w:val="Asuntodelcomentario"/>
    <w:uiPriority w:val="99"/>
    <w:semiHidden/>
    <w:rsid w:val="00DF1C0F"/>
    <w:rPr>
      <w:rFonts w:ascii="Arial" w:eastAsia="Times New Roman" w:hAnsi="Arial" w:cs="Arial"/>
      <w:b/>
      <w:bCs/>
      <w:sz w:val="20"/>
      <w:szCs w:val="20"/>
      <w:lang w:val="es-ES" w:eastAsia="es-ES"/>
    </w:rPr>
  </w:style>
  <w:style w:type="character" w:styleId="Mencinsinresolver">
    <w:name w:val="Unresolved Mention"/>
    <w:basedOn w:val="Fuentedeprrafopredeter"/>
    <w:uiPriority w:val="99"/>
    <w:semiHidden/>
    <w:unhideWhenUsed/>
    <w:rsid w:val="0069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es/publicaciones/ii-edicion-manifiesto-liderazgo-transformacion-digital-de-la-econom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yasociado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E3C9-2C28-446E-891D-9E5E673A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9</cp:revision>
  <cp:lastPrinted>2018-03-15T16:36:00Z</cp:lastPrinted>
  <dcterms:created xsi:type="dcterms:W3CDTF">2019-04-08T08:15:00Z</dcterms:created>
  <dcterms:modified xsi:type="dcterms:W3CDTF">2019-04-08T09:27:00Z</dcterms:modified>
</cp:coreProperties>
</file>