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3CEE" w14:textId="77777777" w:rsidR="006E2581" w:rsidRDefault="006E2581" w:rsidP="002B505D">
      <w:pPr>
        <w:rPr>
          <w:b/>
          <w:color w:val="3C3C3C"/>
          <w:u w:val="single"/>
        </w:rPr>
      </w:pPr>
    </w:p>
    <w:p w14:paraId="013CF57A" w14:textId="77EE4B1B" w:rsidR="00FA03EE" w:rsidRPr="00FA03EE" w:rsidRDefault="006E2581" w:rsidP="00A248B7">
      <w:pPr>
        <w:jc w:val="center"/>
        <w:rPr>
          <w:b/>
          <w:color w:val="3C3C3C"/>
          <w:u w:val="single"/>
        </w:rPr>
      </w:pPr>
      <w:r>
        <w:rPr>
          <w:b/>
          <w:color w:val="3C3C3C"/>
          <w:u w:val="single"/>
        </w:rPr>
        <w:t>Elaborado</w:t>
      </w:r>
      <w:r w:rsidR="00AF08EC">
        <w:rPr>
          <w:b/>
          <w:color w:val="3C3C3C"/>
          <w:u w:val="single"/>
        </w:rPr>
        <w:t xml:space="preserve"> por la Comisión de Sector Público</w:t>
      </w:r>
    </w:p>
    <w:p w14:paraId="68AA9ADF" w14:textId="77777777" w:rsidR="00FA03EE" w:rsidRPr="00FA03EE" w:rsidRDefault="00FA03EE" w:rsidP="00647173">
      <w:pPr>
        <w:spacing w:line="276" w:lineRule="auto"/>
        <w:jc w:val="center"/>
        <w:rPr>
          <w:rFonts w:eastAsia="Times New Roman"/>
          <w:b/>
          <w:color w:val="1C71B8"/>
          <w:sz w:val="34"/>
          <w:szCs w:val="34"/>
        </w:rPr>
      </w:pPr>
    </w:p>
    <w:p w14:paraId="52357DC0" w14:textId="4714BD18" w:rsidR="00FA03EE" w:rsidRPr="00647173" w:rsidRDefault="00FA03EE" w:rsidP="00647173">
      <w:pPr>
        <w:spacing w:line="276" w:lineRule="auto"/>
        <w:jc w:val="center"/>
        <w:rPr>
          <w:rFonts w:eastAsia="Times New Roman"/>
          <w:b/>
          <w:color w:val="1C71B8"/>
          <w:sz w:val="36"/>
          <w:szCs w:val="36"/>
        </w:rPr>
      </w:pPr>
      <w:r w:rsidRPr="00647173">
        <w:rPr>
          <w:rFonts w:eastAsia="Times New Roman"/>
          <w:b/>
          <w:color w:val="1C71B8"/>
          <w:sz w:val="36"/>
          <w:szCs w:val="36"/>
        </w:rPr>
        <w:t xml:space="preserve">AMETIC </w:t>
      </w:r>
      <w:r w:rsidR="00B04F6C" w:rsidRPr="00647173">
        <w:rPr>
          <w:rFonts w:eastAsia="Times New Roman"/>
          <w:b/>
          <w:color w:val="1C71B8"/>
          <w:sz w:val="36"/>
          <w:szCs w:val="36"/>
        </w:rPr>
        <w:t>presenta un manual de recomendaciones y buenas prácticas en la contratación pública</w:t>
      </w:r>
    </w:p>
    <w:p w14:paraId="7DF3ADFE" w14:textId="77777777" w:rsidR="001D538C" w:rsidRPr="00647173" w:rsidRDefault="001D538C" w:rsidP="00647173">
      <w:pPr>
        <w:spacing w:line="276" w:lineRule="auto"/>
        <w:jc w:val="both"/>
        <w:rPr>
          <w:rFonts w:ascii="Verdana" w:hAnsi="Verdana"/>
          <w:b/>
        </w:rPr>
      </w:pPr>
    </w:p>
    <w:p w14:paraId="0866F5EB" w14:textId="2D675239" w:rsidR="001D538C" w:rsidRPr="00647173" w:rsidRDefault="003A18D0" w:rsidP="00647173">
      <w:pPr>
        <w:numPr>
          <w:ilvl w:val="0"/>
          <w:numId w:val="1"/>
        </w:numPr>
        <w:pBdr>
          <w:top w:val="nil"/>
          <w:left w:val="nil"/>
          <w:bottom w:val="nil"/>
          <w:right w:val="nil"/>
          <w:between w:val="nil"/>
        </w:pBdr>
        <w:spacing w:line="276" w:lineRule="auto"/>
        <w:ind w:left="360"/>
        <w:jc w:val="both"/>
        <w:rPr>
          <w:b/>
          <w:color w:val="1C71B8"/>
          <w:sz w:val="24"/>
          <w:szCs w:val="24"/>
        </w:rPr>
      </w:pPr>
      <w:r w:rsidRPr="00647173">
        <w:rPr>
          <w:b/>
          <w:color w:val="1C71B8"/>
          <w:sz w:val="24"/>
          <w:szCs w:val="24"/>
        </w:rPr>
        <w:t xml:space="preserve">La patronal propone que la Administración Pública </w:t>
      </w:r>
      <w:r w:rsidR="00647173" w:rsidRPr="00647173">
        <w:rPr>
          <w:b/>
          <w:color w:val="1C71B8"/>
          <w:sz w:val="24"/>
          <w:szCs w:val="24"/>
        </w:rPr>
        <w:t>promueva</w:t>
      </w:r>
      <w:r w:rsidRPr="00647173">
        <w:rPr>
          <w:b/>
          <w:color w:val="1C71B8"/>
          <w:sz w:val="24"/>
          <w:szCs w:val="24"/>
        </w:rPr>
        <w:t xml:space="preserve"> un Plan de Impulso de las tecnologías habilitadoras en colaboración con el sector privado.</w:t>
      </w:r>
    </w:p>
    <w:p w14:paraId="460F01F3" w14:textId="77777777" w:rsidR="00E47D38" w:rsidRPr="00647173" w:rsidRDefault="00E47D38" w:rsidP="00647173">
      <w:pPr>
        <w:pBdr>
          <w:top w:val="nil"/>
          <w:left w:val="nil"/>
          <w:bottom w:val="nil"/>
          <w:right w:val="nil"/>
          <w:between w:val="nil"/>
        </w:pBdr>
        <w:spacing w:line="276" w:lineRule="auto"/>
        <w:ind w:left="360"/>
        <w:jc w:val="both"/>
        <w:rPr>
          <w:b/>
          <w:color w:val="1C71B8"/>
          <w:sz w:val="24"/>
          <w:szCs w:val="24"/>
        </w:rPr>
      </w:pPr>
    </w:p>
    <w:p w14:paraId="04835EEC" w14:textId="48CAA10B" w:rsidR="00E47D38" w:rsidRPr="00647173" w:rsidRDefault="00E47D38" w:rsidP="00647173">
      <w:pPr>
        <w:numPr>
          <w:ilvl w:val="0"/>
          <w:numId w:val="1"/>
        </w:numPr>
        <w:pBdr>
          <w:top w:val="nil"/>
          <w:left w:val="nil"/>
          <w:bottom w:val="nil"/>
          <w:right w:val="nil"/>
          <w:between w:val="nil"/>
        </w:pBdr>
        <w:spacing w:line="276" w:lineRule="auto"/>
        <w:ind w:left="360"/>
        <w:jc w:val="both"/>
        <w:rPr>
          <w:b/>
          <w:color w:val="1C71B8"/>
          <w:sz w:val="24"/>
          <w:szCs w:val="24"/>
        </w:rPr>
      </w:pPr>
      <w:r w:rsidRPr="00647173">
        <w:rPr>
          <w:b/>
          <w:color w:val="1C71B8"/>
          <w:sz w:val="24"/>
          <w:szCs w:val="24"/>
        </w:rPr>
        <w:t>Para AMETIC, en los contratos del Sector Público relacionados con las tecnologías de la información, el precio no debe ser el criterio determinante para conceder la adjudicación.</w:t>
      </w:r>
    </w:p>
    <w:p w14:paraId="7714E91C" w14:textId="77777777" w:rsidR="004C7D06" w:rsidRPr="00647173" w:rsidRDefault="004C7D06" w:rsidP="00647173">
      <w:pPr>
        <w:spacing w:line="360" w:lineRule="auto"/>
        <w:jc w:val="both"/>
        <w:rPr>
          <w:b/>
          <w:i/>
          <w:color w:val="3C3C3C"/>
        </w:rPr>
      </w:pPr>
    </w:p>
    <w:p w14:paraId="5A21195D" w14:textId="0A07DD0B" w:rsidR="009A7397" w:rsidRPr="00647173" w:rsidRDefault="00316BC4" w:rsidP="00D717F9">
      <w:pPr>
        <w:spacing w:line="276" w:lineRule="auto"/>
        <w:jc w:val="both"/>
        <w:rPr>
          <w:color w:val="3C3C3C"/>
        </w:rPr>
      </w:pPr>
      <w:r w:rsidRPr="00647173">
        <w:rPr>
          <w:b/>
          <w:color w:val="3C3C3C"/>
        </w:rPr>
        <w:t xml:space="preserve">Madrid, </w:t>
      </w:r>
      <w:r w:rsidR="002B505D" w:rsidRPr="002B505D">
        <w:rPr>
          <w:b/>
          <w:color w:val="3C3C3C"/>
        </w:rPr>
        <w:t>25</w:t>
      </w:r>
      <w:r w:rsidR="00A248B7" w:rsidRPr="00647173">
        <w:rPr>
          <w:b/>
          <w:color w:val="3C3C3C"/>
        </w:rPr>
        <w:t xml:space="preserve"> </w:t>
      </w:r>
      <w:r w:rsidRPr="00647173">
        <w:rPr>
          <w:b/>
          <w:color w:val="3C3C3C"/>
        </w:rPr>
        <w:t xml:space="preserve">de </w:t>
      </w:r>
      <w:r w:rsidR="00A248B7" w:rsidRPr="00647173">
        <w:rPr>
          <w:b/>
          <w:color w:val="3C3C3C"/>
        </w:rPr>
        <w:t>octubre</w:t>
      </w:r>
      <w:r w:rsidRPr="00647173">
        <w:rPr>
          <w:b/>
          <w:color w:val="3C3C3C"/>
        </w:rPr>
        <w:t xml:space="preserve"> de 2019</w:t>
      </w:r>
      <w:r w:rsidRPr="00647173">
        <w:rPr>
          <w:b/>
          <w:i/>
          <w:color w:val="3C3C3C"/>
        </w:rPr>
        <w:t>.</w:t>
      </w:r>
      <w:r w:rsidRPr="00647173">
        <w:rPr>
          <w:color w:val="3C3C3C"/>
        </w:rPr>
        <w:t xml:space="preserve"> </w:t>
      </w:r>
      <w:r w:rsidR="00A248B7" w:rsidRPr="00647173">
        <w:rPr>
          <w:color w:val="3C3C3C"/>
        </w:rPr>
        <w:t xml:space="preserve">AMETIC, la patronal de la industria digital, ha elaborado </w:t>
      </w:r>
      <w:r w:rsidR="003D50D3" w:rsidRPr="00647173">
        <w:rPr>
          <w:color w:val="3C3C3C"/>
        </w:rPr>
        <w:t>un</w:t>
      </w:r>
      <w:r w:rsidR="00A248B7" w:rsidRPr="00647173">
        <w:rPr>
          <w:color w:val="3C3C3C"/>
        </w:rPr>
        <w:t xml:space="preserve"> </w:t>
      </w:r>
      <w:hyperlink r:id="rId8" w:history="1">
        <w:r w:rsidR="00A248B7" w:rsidRPr="00647173">
          <w:rPr>
            <w:rStyle w:val="Hipervnculo"/>
          </w:rPr>
          <w:t>manual de buenas prácticas</w:t>
        </w:r>
      </w:hyperlink>
      <w:r w:rsidR="007542CA" w:rsidRPr="00647173">
        <w:rPr>
          <w:color w:val="3C3C3C"/>
        </w:rPr>
        <w:t xml:space="preserve"> </w:t>
      </w:r>
      <w:r w:rsidR="0084164D" w:rsidRPr="00647173">
        <w:rPr>
          <w:color w:val="3C3C3C"/>
        </w:rPr>
        <w:t>con</w:t>
      </w:r>
      <w:r w:rsidR="00A248B7" w:rsidRPr="00647173">
        <w:rPr>
          <w:color w:val="3C3C3C"/>
        </w:rPr>
        <w:t xml:space="preserve"> recomendaciones </w:t>
      </w:r>
      <w:r w:rsidR="00682393" w:rsidRPr="00647173">
        <w:rPr>
          <w:color w:val="3C3C3C"/>
        </w:rPr>
        <w:t>para</w:t>
      </w:r>
      <w:r w:rsidR="00A248B7" w:rsidRPr="00647173">
        <w:rPr>
          <w:color w:val="3C3C3C"/>
        </w:rPr>
        <w:t xml:space="preserve"> abordar los procedimientos de contratación pública </w:t>
      </w:r>
      <w:r w:rsidR="007542CA" w:rsidRPr="00647173">
        <w:rPr>
          <w:color w:val="3C3C3C"/>
        </w:rPr>
        <w:t>con</w:t>
      </w:r>
      <w:r w:rsidR="00A248B7" w:rsidRPr="00647173">
        <w:rPr>
          <w:color w:val="3C3C3C"/>
        </w:rPr>
        <w:t xml:space="preserve"> la</w:t>
      </w:r>
      <w:r w:rsidR="007542CA" w:rsidRPr="00647173">
        <w:rPr>
          <w:color w:val="3C3C3C"/>
        </w:rPr>
        <w:t xml:space="preserve"> máxima</w:t>
      </w:r>
      <w:r w:rsidR="00A248B7" w:rsidRPr="00647173">
        <w:rPr>
          <w:color w:val="3C3C3C"/>
        </w:rPr>
        <w:t xml:space="preserve"> transparencia y libre concurrencia</w:t>
      </w:r>
      <w:r w:rsidR="003D50D3" w:rsidRPr="00647173">
        <w:rPr>
          <w:color w:val="3C3C3C"/>
        </w:rPr>
        <w:t xml:space="preserve">. El documento, </w:t>
      </w:r>
      <w:r w:rsidR="0084164D" w:rsidRPr="00647173">
        <w:rPr>
          <w:color w:val="3C3C3C"/>
        </w:rPr>
        <w:t>desarrollado por</w:t>
      </w:r>
      <w:r w:rsidR="003D50D3" w:rsidRPr="00647173">
        <w:rPr>
          <w:color w:val="3C3C3C"/>
        </w:rPr>
        <w:t xml:space="preserve"> la Comisión de Sector Público de AMETIC</w:t>
      </w:r>
      <w:r w:rsidR="009A7397" w:rsidRPr="00647173">
        <w:rPr>
          <w:color w:val="3C3C3C"/>
        </w:rPr>
        <w:t xml:space="preserve"> a partir de la experiencia </w:t>
      </w:r>
      <w:r w:rsidR="0084164D" w:rsidRPr="00647173">
        <w:rPr>
          <w:color w:val="3C3C3C"/>
        </w:rPr>
        <w:t>de</w:t>
      </w:r>
      <w:r w:rsidR="009A7397" w:rsidRPr="00647173">
        <w:rPr>
          <w:color w:val="3C3C3C"/>
        </w:rPr>
        <w:t xml:space="preserve"> sus empresas asociadas, sesiones de trabajo, consultas a expertos y </w:t>
      </w:r>
      <w:r w:rsidR="00E61E7D" w:rsidRPr="00647173">
        <w:rPr>
          <w:color w:val="3C3C3C"/>
        </w:rPr>
        <w:t>documentación informativa</w:t>
      </w:r>
      <w:r w:rsidR="003D50D3" w:rsidRPr="00647173">
        <w:rPr>
          <w:color w:val="3C3C3C"/>
        </w:rPr>
        <w:t>, se centra principalmente</w:t>
      </w:r>
      <w:r w:rsidR="00A248B7" w:rsidRPr="00647173">
        <w:rPr>
          <w:color w:val="3C3C3C"/>
        </w:rPr>
        <w:t xml:space="preserve"> en aquellos proyectos relativos a las soluciones TIC.</w:t>
      </w:r>
      <w:r w:rsidR="003D50D3" w:rsidRPr="00647173">
        <w:rPr>
          <w:color w:val="3C3C3C"/>
        </w:rPr>
        <w:t xml:space="preserve"> </w:t>
      </w:r>
    </w:p>
    <w:p w14:paraId="4074DC2D" w14:textId="77777777" w:rsidR="003A18D0" w:rsidRPr="00647173" w:rsidRDefault="003A18D0" w:rsidP="00D717F9">
      <w:pPr>
        <w:pStyle w:val="Sinespaciado"/>
        <w:spacing w:line="276" w:lineRule="auto"/>
      </w:pPr>
    </w:p>
    <w:p w14:paraId="235794E7" w14:textId="71F01A6A" w:rsidR="001D538C" w:rsidRPr="00647173" w:rsidRDefault="003A18D0" w:rsidP="00D717F9">
      <w:pPr>
        <w:spacing w:line="276" w:lineRule="auto"/>
        <w:jc w:val="both"/>
        <w:rPr>
          <w:color w:val="3C3C3C"/>
        </w:rPr>
      </w:pPr>
      <w:r w:rsidRPr="00647173">
        <w:rPr>
          <w:color w:val="3C3C3C"/>
        </w:rPr>
        <w:t>E</w:t>
      </w:r>
      <w:r w:rsidR="00682393" w:rsidRPr="00647173">
        <w:rPr>
          <w:color w:val="3C3C3C"/>
        </w:rPr>
        <w:t xml:space="preserve">l manual </w:t>
      </w:r>
      <w:r w:rsidR="00E61E7D" w:rsidRPr="00647173">
        <w:rPr>
          <w:color w:val="3C3C3C"/>
        </w:rPr>
        <w:t>se estructura</w:t>
      </w:r>
      <w:r w:rsidR="003D50D3" w:rsidRPr="00647173">
        <w:rPr>
          <w:color w:val="3C3C3C"/>
        </w:rPr>
        <w:t xml:space="preserve"> en siete áreas</w:t>
      </w:r>
      <w:r w:rsidR="00682393" w:rsidRPr="00647173">
        <w:rPr>
          <w:color w:val="3C3C3C"/>
        </w:rPr>
        <w:t xml:space="preserve"> de acción</w:t>
      </w:r>
      <w:r w:rsidR="003D50D3" w:rsidRPr="00647173">
        <w:rPr>
          <w:color w:val="3C3C3C"/>
        </w:rPr>
        <w:t>: i</w:t>
      </w:r>
      <w:r w:rsidR="00A248B7" w:rsidRPr="00647173">
        <w:rPr>
          <w:color w:val="3C3C3C"/>
        </w:rPr>
        <w:t xml:space="preserve">dentificación de </w:t>
      </w:r>
      <w:r w:rsidR="003D50D3" w:rsidRPr="00647173">
        <w:rPr>
          <w:color w:val="3C3C3C"/>
        </w:rPr>
        <w:t>o</w:t>
      </w:r>
      <w:r w:rsidR="00A248B7" w:rsidRPr="00647173">
        <w:rPr>
          <w:color w:val="3C3C3C"/>
        </w:rPr>
        <w:t>bjetivos de los proyectos; calidad como valor principal; las TIC al servicio de la contratación pública; gobernanza, gestión y control de los proyectos; uso de datos masivos; colaboración efectiva publico privada</w:t>
      </w:r>
      <w:r w:rsidR="00682393" w:rsidRPr="00647173">
        <w:rPr>
          <w:color w:val="3C3C3C"/>
        </w:rPr>
        <w:t>,</w:t>
      </w:r>
      <w:r w:rsidR="00A248B7" w:rsidRPr="00647173">
        <w:rPr>
          <w:color w:val="3C3C3C"/>
        </w:rPr>
        <w:t xml:space="preserve"> e impulso de la compra pública innovadora. </w:t>
      </w:r>
    </w:p>
    <w:p w14:paraId="47D83035" w14:textId="4BBE3745" w:rsidR="00A248B7" w:rsidRPr="00647173" w:rsidRDefault="00A248B7" w:rsidP="00D717F9">
      <w:pPr>
        <w:pStyle w:val="Sinespaciado"/>
        <w:spacing w:line="276" w:lineRule="auto"/>
      </w:pPr>
    </w:p>
    <w:p w14:paraId="3816FABD" w14:textId="2D3DDB2B" w:rsidR="00F030D7" w:rsidRPr="00647173" w:rsidRDefault="008074CE" w:rsidP="00D717F9">
      <w:pPr>
        <w:spacing w:line="276" w:lineRule="auto"/>
        <w:jc w:val="both"/>
        <w:rPr>
          <w:color w:val="3C3C3C"/>
        </w:rPr>
      </w:pPr>
      <w:r w:rsidRPr="00647173">
        <w:rPr>
          <w:color w:val="3C3C3C"/>
        </w:rPr>
        <w:t xml:space="preserve">Entre las recomendaciones, </w:t>
      </w:r>
      <w:r w:rsidR="003A18D0" w:rsidRPr="00647173">
        <w:rPr>
          <w:color w:val="3C3C3C"/>
        </w:rPr>
        <w:t xml:space="preserve">AMETIC propone que la Administración Pública </w:t>
      </w:r>
      <w:r w:rsidRPr="00647173">
        <w:rPr>
          <w:color w:val="3C3C3C"/>
        </w:rPr>
        <w:t xml:space="preserve">promueva </w:t>
      </w:r>
      <w:r w:rsidR="003A18D0" w:rsidRPr="00647173">
        <w:rPr>
          <w:color w:val="3C3C3C"/>
        </w:rPr>
        <w:t>un Plan de Impulso de las tecnologías habilitadoras en colaboración con el sector privado.</w:t>
      </w:r>
      <w:r w:rsidRPr="00647173">
        <w:rPr>
          <w:color w:val="3C3C3C"/>
        </w:rPr>
        <w:t xml:space="preserve"> Establecer una política que priorice los servicios en la nube como tecnología habilitadora de la transformación digital de las AA.PP., estimulará la innovación y la creación de nuevos modelos de negocio. Ello contribuirá a que la administración sea más ágil</w:t>
      </w:r>
      <w:r w:rsidR="00A370E1" w:rsidRPr="00647173">
        <w:rPr>
          <w:color w:val="3C3C3C"/>
        </w:rPr>
        <w:t xml:space="preserve">, </w:t>
      </w:r>
      <w:r w:rsidRPr="00647173">
        <w:rPr>
          <w:color w:val="3C3C3C"/>
        </w:rPr>
        <w:t>flexible</w:t>
      </w:r>
      <w:r w:rsidR="00A370E1" w:rsidRPr="00647173">
        <w:rPr>
          <w:color w:val="3C3C3C"/>
        </w:rPr>
        <w:t xml:space="preserve"> y con mejores niveles </w:t>
      </w:r>
      <w:r w:rsidRPr="00647173">
        <w:rPr>
          <w:color w:val="3C3C3C"/>
        </w:rPr>
        <w:t>de seguridad y</w:t>
      </w:r>
      <w:r w:rsidR="0087633B">
        <w:rPr>
          <w:color w:val="3C3C3C"/>
        </w:rPr>
        <w:t xml:space="preserve"> </w:t>
      </w:r>
      <w:r w:rsidRPr="00647173">
        <w:rPr>
          <w:color w:val="3C3C3C"/>
        </w:rPr>
        <w:t>control.</w:t>
      </w:r>
      <w:r w:rsidR="00F030D7" w:rsidRPr="00647173">
        <w:rPr>
          <w:color w:val="3C3C3C"/>
        </w:rPr>
        <w:t xml:space="preserve"> En este sentido, plantea el impulso de la compra pública innovadora.</w:t>
      </w:r>
    </w:p>
    <w:p w14:paraId="71368D5D" w14:textId="77777777" w:rsidR="003A18D0" w:rsidRPr="00647173" w:rsidRDefault="003A18D0" w:rsidP="00D717F9">
      <w:pPr>
        <w:spacing w:line="276" w:lineRule="auto"/>
        <w:jc w:val="both"/>
        <w:rPr>
          <w:color w:val="3C3C3C"/>
        </w:rPr>
      </w:pPr>
    </w:p>
    <w:p w14:paraId="4212A685" w14:textId="0A745AB4" w:rsidR="00F20689" w:rsidRPr="00647173" w:rsidRDefault="00C36C68" w:rsidP="00D717F9">
      <w:pPr>
        <w:spacing w:line="276" w:lineRule="auto"/>
        <w:jc w:val="both"/>
        <w:rPr>
          <w:color w:val="3C3C3C"/>
        </w:rPr>
      </w:pPr>
      <w:r w:rsidRPr="00647173">
        <w:rPr>
          <w:color w:val="3C3C3C"/>
        </w:rPr>
        <w:t>Según la patronal, una de las principales mejoras de</w:t>
      </w:r>
      <w:r w:rsidR="000D7E62" w:rsidRPr="00647173">
        <w:rPr>
          <w:color w:val="3C3C3C"/>
        </w:rPr>
        <w:t xml:space="preserve"> la</w:t>
      </w:r>
      <w:r w:rsidRPr="00647173">
        <w:rPr>
          <w:color w:val="3C3C3C"/>
        </w:rPr>
        <w:t xml:space="preserve"> </w:t>
      </w:r>
      <w:r w:rsidR="003A18D0" w:rsidRPr="00647173">
        <w:rPr>
          <w:color w:val="3C3C3C"/>
        </w:rPr>
        <w:t>Ley 9/2017 de contratación del sector público (LCSP)</w:t>
      </w:r>
      <w:r w:rsidRPr="00647173">
        <w:rPr>
          <w:color w:val="3C3C3C"/>
        </w:rPr>
        <w:t xml:space="preserve"> es la posibilidad de realizar estudios de mercado y dirigir consultas a terceros especializados</w:t>
      </w:r>
      <w:r w:rsidR="00FD61AC" w:rsidRPr="00647173">
        <w:rPr>
          <w:color w:val="3C3C3C"/>
        </w:rPr>
        <w:t xml:space="preserve">, </w:t>
      </w:r>
      <w:r w:rsidR="006E2883" w:rsidRPr="00647173">
        <w:rPr>
          <w:color w:val="3C3C3C"/>
        </w:rPr>
        <w:t xml:space="preserve">garantizándose </w:t>
      </w:r>
      <w:r w:rsidRPr="00647173">
        <w:rPr>
          <w:color w:val="3C3C3C"/>
        </w:rPr>
        <w:t xml:space="preserve">que los procedimientos de contratación estén mejor alineados </w:t>
      </w:r>
      <w:r w:rsidR="00FD61AC" w:rsidRPr="00647173">
        <w:rPr>
          <w:color w:val="3C3C3C"/>
        </w:rPr>
        <w:t xml:space="preserve">con </w:t>
      </w:r>
      <w:r w:rsidRPr="00647173">
        <w:rPr>
          <w:color w:val="3C3C3C"/>
        </w:rPr>
        <w:t xml:space="preserve">la </w:t>
      </w:r>
      <w:r w:rsidR="00FD61AC" w:rsidRPr="00647173">
        <w:rPr>
          <w:color w:val="3C3C3C"/>
        </w:rPr>
        <w:t xml:space="preserve">adopción </w:t>
      </w:r>
      <w:r w:rsidRPr="00647173">
        <w:rPr>
          <w:color w:val="3C3C3C"/>
        </w:rPr>
        <w:t>de</w:t>
      </w:r>
      <w:r w:rsidR="00FD61AC" w:rsidRPr="00647173">
        <w:rPr>
          <w:color w:val="3C3C3C"/>
        </w:rPr>
        <w:t xml:space="preserve"> </w:t>
      </w:r>
      <w:r w:rsidRPr="00647173">
        <w:rPr>
          <w:color w:val="3C3C3C"/>
        </w:rPr>
        <w:t>innovaciones tecnológicas</w:t>
      </w:r>
      <w:r w:rsidR="00FD61AC" w:rsidRPr="00647173">
        <w:rPr>
          <w:color w:val="3C3C3C"/>
        </w:rPr>
        <w:t xml:space="preserve">. </w:t>
      </w:r>
      <w:r w:rsidR="00A248B7" w:rsidRPr="00647173">
        <w:rPr>
          <w:color w:val="3C3C3C"/>
        </w:rPr>
        <w:t>No obstante, se debe</w:t>
      </w:r>
      <w:r w:rsidR="00FD61AC" w:rsidRPr="00647173">
        <w:rPr>
          <w:color w:val="3C3C3C"/>
        </w:rPr>
        <w:t xml:space="preserve"> solucionar</w:t>
      </w:r>
      <w:r w:rsidR="00A248B7" w:rsidRPr="00647173">
        <w:rPr>
          <w:color w:val="3C3C3C"/>
        </w:rPr>
        <w:t xml:space="preserve"> la falta de concreción </w:t>
      </w:r>
      <w:r w:rsidR="00FD61AC" w:rsidRPr="00647173">
        <w:rPr>
          <w:color w:val="3C3C3C"/>
        </w:rPr>
        <w:t xml:space="preserve">sobre cómo </w:t>
      </w:r>
      <w:r w:rsidR="00A248B7" w:rsidRPr="00647173">
        <w:rPr>
          <w:color w:val="3C3C3C"/>
        </w:rPr>
        <w:t xml:space="preserve">realizar estas consultas, así como </w:t>
      </w:r>
      <w:r w:rsidR="00FD61AC" w:rsidRPr="00647173">
        <w:rPr>
          <w:color w:val="3C3C3C"/>
        </w:rPr>
        <w:t xml:space="preserve">la </w:t>
      </w:r>
      <w:r w:rsidR="00A248B7" w:rsidRPr="00647173">
        <w:rPr>
          <w:color w:val="3C3C3C"/>
        </w:rPr>
        <w:t xml:space="preserve">inseguridad jurídica que suponen para las empresas que participan. </w:t>
      </w:r>
    </w:p>
    <w:p w14:paraId="5250F48A" w14:textId="77777777" w:rsidR="00F20689" w:rsidRPr="00647173" w:rsidRDefault="00F20689" w:rsidP="00D717F9">
      <w:pPr>
        <w:pStyle w:val="Sinespaciado"/>
        <w:spacing w:line="276" w:lineRule="auto"/>
      </w:pPr>
    </w:p>
    <w:p w14:paraId="0001A643" w14:textId="77777777" w:rsidR="00172BB6" w:rsidRPr="00647173" w:rsidRDefault="00FD61AC" w:rsidP="00D717F9">
      <w:pPr>
        <w:spacing w:line="276" w:lineRule="auto"/>
        <w:jc w:val="both"/>
        <w:rPr>
          <w:color w:val="3C3C3C"/>
        </w:rPr>
      </w:pPr>
      <w:bookmarkStart w:id="0" w:name="_Hlk20824139"/>
      <w:r w:rsidRPr="00647173">
        <w:rPr>
          <w:color w:val="3C3C3C"/>
        </w:rPr>
        <w:t>Para AMETIC, e</w:t>
      </w:r>
      <w:r w:rsidR="00A248B7" w:rsidRPr="00647173">
        <w:rPr>
          <w:color w:val="3C3C3C"/>
        </w:rPr>
        <w:t xml:space="preserve">n los contratos del Sector Público relacionados con las tecnologías de la información, el precio no debe ser </w:t>
      </w:r>
      <w:r w:rsidR="005403D8" w:rsidRPr="00647173">
        <w:rPr>
          <w:color w:val="3C3C3C"/>
        </w:rPr>
        <w:t xml:space="preserve">el criterio </w:t>
      </w:r>
      <w:r w:rsidR="00A248B7" w:rsidRPr="00647173">
        <w:rPr>
          <w:color w:val="3C3C3C"/>
        </w:rPr>
        <w:t>determinante para conceder la adjudicación</w:t>
      </w:r>
      <w:bookmarkEnd w:id="0"/>
      <w:r w:rsidR="00A248B7" w:rsidRPr="00647173">
        <w:rPr>
          <w:color w:val="3C3C3C"/>
        </w:rPr>
        <w:t>.</w:t>
      </w:r>
      <w:r w:rsidR="006E7AE6" w:rsidRPr="00647173">
        <w:rPr>
          <w:color w:val="3C3C3C"/>
        </w:rPr>
        <w:t xml:space="preserve"> </w:t>
      </w:r>
      <w:r w:rsidR="006E2883" w:rsidRPr="00647173">
        <w:rPr>
          <w:color w:val="3C3C3C"/>
        </w:rPr>
        <w:t>Se</w:t>
      </w:r>
      <w:r w:rsidR="00A248B7" w:rsidRPr="00647173">
        <w:rPr>
          <w:color w:val="3C3C3C"/>
        </w:rPr>
        <w:t xml:space="preserve"> recomienda el uso de fórmulas de </w:t>
      </w:r>
      <w:r w:rsidR="003A7871" w:rsidRPr="00647173">
        <w:rPr>
          <w:color w:val="3C3C3C"/>
        </w:rPr>
        <w:t>estimación</w:t>
      </w:r>
      <w:r w:rsidR="00A248B7" w:rsidRPr="00647173">
        <w:rPr>
          <w:color w:val="3C3C3C"/>
        </w:rPr>
        <w:t xml:space="preserve"> económica que sean proporcionales al precio y no distorsionen la valoración global de las ofertas en términos de calidad</w:t>
      </w:r>
      <w:r w:rsidR="006E2883" w:rsidRPr="00647173">
        <w:rPr>
          <w:color w:val="3C3C3C"/>
        </w:rPr>
        <w:t>/</w:t>
      </w:r>
      <w:r w:rsidR="00A248B7" w:rsidRPr="00647173">
        <w:rPr>
          <w:color w:val="3C3C3C"/>
        </w:rPr>
        <w:t xml:space="preserve">precio. </w:t>
      </w:r>
      <w:r w:rsidR="003A7871" w:rsidRPr="00647173">
        <w:rPr>
          <w:color w:val="3C3C3C"/>
        </w:rPr>
        <w:t>Asimismo, s</w:t>
      </w:r>
      <w:r w:rsidR="00A248B7" w:rsidRPr="00647173">
        <w:rPr>
          <w:color w:val="3C3C3C"/>
        </w:rPr>
        <w:t>e debe</w:t>
      </w:r>
      <w:r w:rsidR="003A7871" w:rsidRPr="00647173">
        <w:rPr>
          <w:color w:val="3C3C3C"/>
        </w:rPr>
        <w:t>n</w:t>
      </w:r>
      <w:r w:rsidR="00A248B7" w:rsidRPr="00647173">
        <w:rPr>
          <w:color w:val="3C3C3C"/>
        </w:rPr>
        <w:t xml:space="preserve"> fomentar </w:t>
      </w:r>
      <w:r w:rsidR="003A7871" w:rsidRPr="00647173">
        <w:rPr>
          <w:color w:val="3C3C3C"/>
        </w:rPr>
        <w:t xml:space="preserve">las </w:t>
      </w:r>
      <w:r w:rsidR="00A248B7" w:rsidRPr="00647173">
        <w:rPr>
          <w:color w:val="3C3C3C"/>
        </w:rPr>
        <w:t xml:space="preserve">herramientas que </w:t>
      </w:r>
      <w:r w:rsidR="006E7AE6" w:rsidRPr="00647173">
        <w:rPr>
          <w:color w:val="3C3C3C"/>
        </w:rPr>
        <w:t xml:space="preserve">hagan más objetivos </w:t>
      </w:r>
      <w:r w:rsidR="003A7871" w:rsidRPr="00647173">
        <w:rPr>
          <w:color w:val="3C3C3C"/>
        </w:rPr>
        <w:t>algunos criterios</w:t>
      </w:r>
      <w:r w:rsidR="00A248B7" w:rsidRPr="00647173">
        <w:rPr>
          <w:color w:val="3C3C3C"/>
        </w:rPr>
        <w:t xml:space="preserve"> </w:t>
      </w:r>
      <w:r w:rsidR="006E7AE6" w:rsidRPr="00647173">
        <w:rPr>
          <w:color w:val="3C3C3C"/>
        </w:rPr>
        <w:t>transformando</w:t>
      </w:r>
      <w:r w:rsidR="00A248B7" w:rsidRPr="00647173">
        <w:rPr>
          <w:color w:val="3C3C3C"/>
        </w:rPr>
        <w:t xml:space="preserve"> en cuantificable el uso de los valores recogidos en los instrumentos</w:t>
      </w:r>
      <w:r w:rsidR="006E7AE6" w:rsidRPr="00647173">
        <w:rPr>
          <w:color w:val="3C3C3C"/>
        </w:rPr>
        <w:t>.</w:t>
      </w:r>
      <w:r w:rsidR="00172BB6" w:rsidRPr="00647173">
        <w:rPr>
          <w:color w:val="3C3C3C"/>
        </w:rPr>
        <w:t xml:space="preserve"> </w:t>
      </w:r>
    </w:p>
    <w:p w14:paraId="6461CD97" w14:textId="77777777" w:rsidR="00172BB6" w:rsidRPr="00647173" w:rsidRDefault="00172BB6" w:rsidP="00D717F9">
      <w:pPr>
        <w:pStyle w:val="Sinespaciado"/>
        <w:spacing w:line="276" w:lineRule="auto"/>
      </w:pPr>
    </w:p>
    <w:p w14:paraId="2CC90505" w14:textId="5A540572" w:rsidR="002B1421" w:rsidRPr="00647173" w:rsidRDefault="00DD360D" w:rsidP="00D717F9">
      <w:pPr>
        <w:spacing w:line="276" w:lineRule="auto"/>
        <w:jc w:val="both"/>
        <w:rPr>
          <w:color w:val="3C3C3C"/>
        </w:rPr>
      </w:pPr>
      <w:r w:rsidRPr="00647173">
        <w:rPr>
          <w:color w:val="3C3C3C"/>
        </w:rPr>
        <w:t>Por otro lado,</w:t>
      </w:r>
      <w:r w:rsidR="00A248B7" w:rsidRPr="00647173">
        <w:rPr>
          <w:color w:val="3C3C3C"/>
        </w:rPr>
        <w:t xml:space="preserve"> </w:t>
      </w:r>
      <w:r w:rsidR="002B1421" w:rsidRPr="00647173">
        <w:rPr>
          <w:color w:val="3C3C3C"/>
        </w:rPr>
        <w:t xml:space="preserve">hay que </w:t>
      </w:r>
      <w:r w:rsidR="00A248B7" w:rsidRPr="00647173">
        <w:rPr>
          <w:color w:val="3C3C3C"/>
        </w:rPr>
        <w:t>establecer criterios de independencia tecnológica y funcional en las herramientas TI que soportan el funcionamiento de las administraciones</w:t>
      </w:r>
      <w:r w:rsidR="002B1421" w:rsidRPr="00647173">
        <w:rPr>
          <w:color w:val="3C3C3C"/>
        </w:rPr>
        <w:t xml:space="preserve">. </w:t>
      </w:r>
      <w:r w:rsidR="00C6308F" w:rsidRPr="00647173">
        <w:rPr>
          <w:color w:val="3C3C3C"/>
        </w:rPr>
        <w:t>En consecuencia,</w:t>
      </w:r>
      <w:r w:rsidR="002B1421" w:rsidRPr="00647173">
        <w:rPr>
          <w:color w:val="3C3C3C"/>
        </w:rPr>
        <w:t xml:space="preserve"> se consigue</w:t>
      </w:r>
      <w:r w:rsidR="00A248B7" w:rsidRPr="00647173">
        <w:rPr>
          <w:color w:val="3C3C3C"/>
        </w:rPr>
        <w:t xml:space="preserve"> </w:t>
      </w:r>
      <w:r w:rsidR="002B1421" w:rsidRPr="00647173">
        <w:rPr>
          <w:color w:val="3C3C3C"/>
        </w:rPr>
        <w:t xml:space="preserve">fortalecer </w:t>
      </w:r>
      <w:r w:rsidR="00A248B7" w:rsidRPr="00647173">
        <w:rPr>
          <w:color w:val="3C3C3C"/>
        </w:rPr>
        <w:t xml:space="preserve">la capacidad innovadora y operativa del tejido empresarial tecnológico del país y de sus profesionales. </w:t>
      </w:r>
    </w:p>
    <w:p w14:paraId="40E78E63" w14:textId="6943D84F" w:rsidR="003A18D0" w:rsidRDefault="001129D0" w:rsidP="00D717F9">
      <w:pPr>
        <w:spacing w:line="276" w:lineRule="auto"/>
        <w:jc w:val="both"/>
        <w:rPr>
          <w:color w:val="3C3C3C"/>
        </w:rPr>
      </w:pPr>
      <w:r>
        <w:rPr>
          <w:noProof/>
        </w:rPr>
        <mc:AlternateContent>
          <mc:Choice Requires="wps">
            <w:drawing>
              <wp:anchor distT="45720" distB="45720" distL="114300" distR="114300" simplePos="0" relativeHeight="251659264" behindDoc="0" locked="0" layoutInCell="1" allowOverlap="1" wp14:anchorId="1E865570" wp14:editId="6ACE3F0D">
                <wp:simplePos x="0" y="0"/>
                <wp:positionH relativeFrom="margin">
                  <wp:align>left</wp:align>
                </wp:positionH>
                <wp:positionV relativeFrom="paragraph">
                  <wp:posOffset>315595</wp:posOffset>
                </wp:positionV>
                <wp:extent cx="5751830" cy="2125980"/>
                <wp:effectExtent l="0" t="0" r="2032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125980"/>
                        </a:xfrm>
                        <a:prstGeom prst="rect">
                          <a:avLst/>
                        </a:prstGeom>
                        <a:solidFill>
                          <a:schemeClr val="bg2"/>
                        </a:solidFill>
                        <a:ln w="9525">
                          <a:solidFill>
                            <a:srgbClr val="3C3C3C"/>
                          </a:solidFill>
                          <a:miter lim="800000"/>
                          <a:headEnd/>
                          <a:tailEnd/>
                        </a:ln>
                      </wps:spPr>
                      <wps:txbx>
                        <w:txbxContent>
                          <w:p w14:paraId="37D64FE6" w14:textId="77777777" w:rsidR="001129D0" w:rsidRPr="009747BE" w:rsidRDefault="001129D0" w:rsidP="001129D0">
                            <w:pPr>
                              <w:jc w:val="both"/>
                              <w:rPr>
                                <w:b/>
                                <w:color w:val="3C3C3C"/>
                                <w:sz w:val="18"/>
                              </w:rPr>
                            </w:pPr>
                            <w:r>
                              <w:rPr>
                                <w:b/>
                                <w:color w:val="3C3C3C"/>
                                <w:sz w:val="18"/>
                              </w:rPr>
                              <w:t>Sobre AMETIC</w:t>
                            </w:r>
                          </w:p>
                          <w:p w14:paraId="33C40DB0" w14:textId="77777777" w:rsidR="001129D0" w:rsidRPr="009747BE" w:rsidRDefault="001129D0" w:rsidP="001129D0">
                            <w:pPr>
                              <w:jc w:val="both"/>
                              <w:rPr>
                                <w:b/>
                                <w:color w:val="3C3C3C"/>
                                <w:sz w:val="18"/>
                              </w:rPr>
                            </w:pPr>
                          </w:p>
                          <w:p w14:paraId="034DD855" w14:textId="77777777" w:rsidR="001129D0" w:rsidRPr="009747BE" w:rsidRDefault="001129D0" w:rsidP="001129D0">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5C70DB9E" w14:textId="77777777" w:rsidR="001129D0" w:rsidRPr="009747BE" w:rsidRDefault="001129D0" w:rsidP="001129D0">
                            <w:pPr>
                              <w:jc w:val="both"/>
                              <w:rPr>
                                <w:color w:val="3C3C3C"/>
                                <w:sz w:val="18"/>
                              </w:rPr>
                            </w:pPr>
                            <w:r w:rsidRPr="009747BE">
                              <w:rPr>
                                <w:color w:val="3C3C3C"/>
                                <w:sz w:val="18"/>
                              </w:rPr>
                              <w:br/>
                              <w:t xml:space="preserve">Más información: </w:t>
                            </w:r>
                            <w:hyperlink r:id="rId9" w:history="1">
                              <w:r w:rsidRPr="009747BE">
                                <w:rPr>
                                  <w:rStyle w:val="Hipervnculo"/>
                                  <w:color w:val="3C3C3C"/>
                                </w:rPr>
                                <w:t>www.ametic.es</w:t>
                              </w:r>
                            </w:hyperlink>
                            <w:r w:rsidRPr="009747BE">
                              <w:rPr>
                                <w:color w:val="3C3C3C"/>
                                <w:sz w:val="18"/>
                              </w:rPr>
                              <w:t xml:space="preserve"> </w:t>
                            </w:r>
                          </w:p>
                          <w:p w14:paraId="70A612B7" w14:textId="77777777" w:rsidR="001129D0" w:rsidRDefault="001129D0" w:rsidP="00112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65570" id="_x0000_t202" coordsize="21600,21600" o:spt="202" path="m,l,21600r21600,l21600,xe">
                <v:stroke joinstyle="miter"/>
                <v:path gradientshapeok="t" o:connecttype="rect"/>
              </v:shapetype>
              <v:shape id="Cuadro de texto 2" o:spid="_x0000_s1026" type="#_x0000_t202" style="position:absolute;left:0;text-align:left;margin-left:0;margin-top:24.85pt;width:452.9pt;height:167.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ONAIAAE0EAAAOAAAAZHJzL2Uyb0RvYy54bWysVNtu2zAMfR+wfxD0vjh2kzUx4hRdug4D&#10;ugvQ7QNkSbaFyaImKbGzrx8lp1navQ2zAYE0ySPykPTmZuw1OUjnFZiK5rM5JdJwEMq0Ff3+7f7N&#10;ihIfmBFMg5EVPUpPb7avX20GW8oCOtBCOoIgxpeDrWgXgi2zzPNO9szPwEqDxgZczwKqrs2EYwOi&#10;9zor5vO32QBOWAdceo9f7yYj3Sb8ppE8fGkaLwPRFcXcQjpdOut4ZtsNK1vHbKf4KQ32D1n0TBm8&#10;9Ax1xwIje6f+guoVd+ChCTMOfQZNo7hMNWA1+fxFNY8dszLVguR4e6bJ/z9Y/vnw1RElKlrk15QY&#10;1mOTdnsmHBAhSZBjAFJEmgbrS/R+tOgfxncwYrtTyd4+AP/hiYFdx0wrb52DoZNMYJp5jMwuQicc&#10;H0Hq4RMIvI3tAySgsXF95BBZIYiO7TqeW4R5EI4fl9fLfHWFJo62Ii+W61VqYsbKp3DrfPggoSdR&#10;qKjDGUjw7PDgQ0yHlU8u8TYPWol7pXVS4tzJnXbkwHBi6jaVjhHPvLQhQ0XXy2I5EfAMwbX1Of5q&#10;F9/EwQuIXgWce636iq7m8ZkmMdL23og0lYEpPcl4vzYnHiN1E4lhrMdTX2oQR2TUwTTfuI8odOB+&#10;UTLgbFfU/9wzJynRHw12ZZ0vFnEZkrJYXheouEtLfWlhhiNURQMlk7gLaYEiXwZusXuNSrzGNk+Z&#10;nHLFmU10n/YrLsWlnrz+/AW2vwEAAP//AwBQSwMEFAAGAAgAAAAhAIn9l9HeAAAABwEAAA8AAABk&#10;cnMvZG93bnJldi54bWxMj8FOwzAQRO9I/IO1SFwQdYAWmpBNVRWBeuCSUu5OvI0jYjuK3TTl61lO&#10;cBzNaOZNvppsJ0YaQusdwt0sAUGu9rp1DcL+4/V2CSJE5bTqvCOEMwVYFZcXucq0P7mSxl1sBJe4&#10;kCkEE2OfSRlqQ1aFme/JsXfwg1WR5dBIPagTl9tO3ifJo7SqdbxgVE8bQ/XX7mgRtp/787dMN4e3&#10;dXnzTi+VieNQIl5fTetnEJGm+BeGX3xGh4KZKn90OogOgY9EhHn6BILdNFnwkQrhYTlfgCxy+Z+/&#10;+AEAAP//AwBQSwECLQAUAAYACAAAACEAtoM4kv4AAADhAQAAEwAAAAAAAAAAAAAAAAAAAAAAW0Nv&#10;bnRlbnRfVHlwZXNdLnhtbFBLAQItABQABgAIAAAAIQA4/SH/1gAAAJQBAAALAAAAAAAAAAAAAAAA&#10;AC8BAABfcmVscy8ucmVsc1BLAQItABQABgAIAAAAIQBpN6+ONAIAAE0EAAAOAAAAAAAAAAAAAAAA&#10;AC4CAABkcnMvZTJvRG9jLnhtbFBLAQItABQABgAIAAAAIQCJ/ZfR3gAAAAcBAAAPAAAAAAAAAAAA&#10;AAAAAI4EAABkcnMvZG93bnJldi54bWxQSwUGAAAAAAQABADzAAAAmQUAAAAA&#10;" fillcolor="#eeece1 [3214]" strokecolor="#3c3c3c">
                <v:textbox>
                  <w:txbxContent>
                    <w:p w14:paraId="37D64FE6" w14:textId="77777777" w:rsidR="001129D0" w:rsidRPr="009747BE" w:rsidRDefault="001129D0" w:rsidP="001129D0">
                      <w:pPr>
                        <w:jc w:val="both"/>
                        <w:rPr>
                          <w:b/>
                          <w:color w:val="3C3C3C"/>
                          <w:sz w:val="18"/>
                        </w:rPr>
                      </w:pPr>
                      <w:r>
                        <w:rPr>
                          <w:b/>
                          <w:color w:val="3C3C3C"/>
                          <w:sz w:val="18"/>
                        </w:rPr>
                        <w:t>Sobre AMETIC</w:t>
                      </w:r>
                    </w:p>
                    <w:p w14:paraId="33C40DB0" w14:textId="77777777" w:rsidR="001129D0" w:rsidRPr="009747BE" w:rsidRDefault="001129D0" w:rsidP="001129D0">
                      <w:pPr>
                        <w:jc w:val="both"/>
                        <w:rPr>
                          <w:b/>
                          <w:color w:val="3C3C3C"/>
                          <w:sz w:val="18"/>
                        </w:rPr>
                      </w:pPr>
                    </w:p>
                    <w:p w14:paraId="034DD855" w14:textId="77777777" w:rsidR="001129D0" w:rsidRPr="009747BE" w:rsidRDefault="001129D0" w:rsidP="001129D0">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5C70DB9E" w14:textId="77777777" w:rsidR="001129D0" w:rsidRPr="009747BE" w:rsidRDefault="001129D0" w:rsidP="001129D0">
                      <w:pPr>
                        <w:jc w:val="both"/>
                        <w:rPr>
                          <w:color w:val="3C3C3C"/>
                          <w:sz w:val="18"/>
                        </w:rPr>
                      </w:pPr>
                      <w:r w:rsidRPr="009747BE">
                        <w:rPr>
                          <w:color w:val="3C3C3C"/>
                          <w:sz w:val="18"/>
                        </w:rPr>
                        <w:br/>
                        <w:t xml:space="preserve">Más información: </w:t>
                      </w:r>
                      <w:hyperlink r:id="rId10" w:history="1">
                        <w:r w:rsidRPr="009747BE">
                          <w:rPr>
                            <w:rStyle w:val="Hipervnculo"/>
                            <w:color w:val="3C3C3C"/>
                          </w:rPr>
                          <w:t>www.ametic.es</w:t>
                        </w:r>
                      </w:hyperlink>
                      <w:r w:rsidRPr="009747BE">
                        <w:rPr>
                          <w:color w:val="3C3C3C"/>
                          <w:sz w:val="18"/>
                        </w:rPr>
                        <w:t xml:space="preserve"> </w:t>
                      </w:r>
                    </w:p>
                    <w:p w14:paraId="70A612B7" w14:textId="77777777" w:rsidR="001129D0" w:rsidRDefault="001129D0" w:rsidP="001129D0"/>
                  </w:txbxContent>
                </v:textbox>
                <w10:wrap type="square" anchorx="margin"/>
              </v:shape>
            </w:pict>
          </mc:Fallback>
        </mc:AlternateContent>
      </w:r>
    </w:p>
    <w:p w14:paraId="17797131" w14:textId="008510E5" w:rsidR="004C7D06" w:rsidRDefault="004C7D06" w:rsidP="00D717F9">
      <w:pPr>
        <w:spacing w:line="276" w:lineRule="auto"/>
        <w:jc w:val="both"/>
      </w:pPr>
      <w:bookmarkStart w:id="1" w:name="_gjdgxs" w:colFirst="0" w:colLast="0"/>
      <w:bookmarkEnd w:id="1"/>
    </w:p>
    <w:p w14:paraId="63785C9A" w14:textId="1B8563E7" w:rsidR="001129D0" w:rsidRDefault="001129D0">
      <w:pPr>
        <w:jc w:val="both"/>
        <w:rPr>
          <w:b/>
          <w:bCs/>
          <w:color w:val="3C3C3C"/>
        </w:rPr>
      </w:pPr>
      <w:bookmarkStart w:id="2" w:name="_GoBack"/>
      <w:bookmarkEnd w:id="2"/>
    </w:p>
    <w:p w14:paraId="6756543B" w14:textId="77777777" w:rsidR="001129D0" w:rsidRDefault="001129D0">
      <w:pPr>
        <w:jc w:val="both"/>
      </w:pPr>
    </w:p>
    <w:p w14:paraId="3C734317" w14:textId="77777777" w:rsidR="001129D0" w:rsidRPr="007B51EC" w:rsidRDefault="001129D0" w:rsidP="001129D0">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Rom</w:t>
      </w:r>
      <w:r>
        <w:rPr>
          <w:b/>
          <w:color w:val="3C3C3C"/>
          <w:sz w:val="20"/>
        </w:rPr>
        <w:t>an</w:t>
      </w:r>
      <w:proofErr w:type="spellEnd"/>
      <w:r w:rsidRPr="007B51EC">
        <w:rPr>
          <w:b/>
          <w:color w:val="3C3C3C"/>
          <w:sz w:val="20"/>
        </w:rPr>
        <w:t>.</w:t>
      </w:r>
      <w:r w:rsidRPr="007B51EC">
        <w:rPr>
          <w:color w:val="3C3C3C"/>
          <w:sz w:val="20"/>
        </w:rPr>
        <w:t xml:space="preserve"> Tel. 91 591 55 00</w:t>
      </w:r>
    </w:p>
    <w:p w14:paraId="2CE19E07" w14:textId="77777777" w:rsidR="001129D0" w:rsidRPr="00852A3A" w:rsidRDefault="001129D0" w:rsidP="001129D0">
      <w:pPr>
        <w:jc w:val="center"/>
        <w:rPr>
          <w:color w:val="3C3C3C"/>
          <w:sz w:val="20"/>
          <w:u w:val="single"/>
        </w:rPr>
      </w:pPr>
      <w:r>
        <w:rPr>
          <w:b/>
          <w:color w:val="3C3C3C"/>
          <w:sz w:val="20"/>
        </w:rPr>
        <w:t>Carmen del Álamo</w:t>
      </w:r>
      <w:r w:rsidRPr="007B51EC">
        <w:rPr>
          <w:b/>
          <w:color w:val="3C3C3C"/>
          <w:sz w:val="20"/>
        </w:rPr>
        <w:t xml:space="preserve">: </w:t>
      </w:r>
      <w:r w:rsidRPr="004F4AA1">
        <w:rPr>
          <w:sz w:val="20"/>
          <w:u w:val="single"/>
        </w:rPr>
        <w:t>c.delalamo@romanrm.com</w:t>
      </w:r>
      <w:r>
        <w:rPr>
          <w:rStyle w:val="Hipervnculo"/>
          <w:color w:val="3C3C3C"/>
          <w:sz w:val="20"/>
        </w:rPr>
        <w:t xml:space="preserve"> </w:t>
      </w:r>
    </w:p>
    <w:p w14:paraId="66782FC2" w14:textId="77777777" w:rsidR="001129D0" w:rsidRPr="00BD48AB" w:rsidRDefault="001129D0" w:rsidP="001129D0">
      <w:pPr>
        <w:jc w:val="center"/>
        <w:rPr>
          <w:color w:val="3C3C3C"/>
          <w:sz w:val="20"/>
        </w:rPr>
      </w:pPr>
      <w:r>
        <w:rPr>
          <w:b/>
          <w:color w:val="3C3C3C"/>
          <w:sz w:val="20"/>
        </w:rPr>
        <w:t xml:space="preserve">Manu Portocarrero: </w:t>
      </w:r>
      <w:r w:rsidRPr="004F4AA1">
        <w:rPr>
          <w:sz w:val="20"/>
          <w:u w:val="single"/>
        </w:rPr>
        <w:t>m.portocarrero@romanrm.com</w:t>
      </w:r>
    </w:p>
    <w:p w14:paraId="7E9D7A37" w14:textId="77777777" w:rsidR="00D717F9" w:rsidRDefault="00D717F9">
      <w:pPr>
        <w:jc w:val="both"/>
      </w:pPr>
    </w:p>
    <w:p w14:paraId="3AC7DF45" w14:textId="14E042EE" w:rsidR="004C7D06" w:rsidRDefault="004C7D06">
      <w:pPr>
        <w:jc w:val="center"/>
        <w:rPr>
          <w:color w:val="3C3C3C"/>
        </w:rPr>
      </w:pPr>
    </w:p>
    <w:sectPr w:rsidR="004C7D06">
      <w:headerReference w:type="default" r:id="rId11"/>
      <w:footerReference w:type="default" r:id="rId12"/>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3BC1" w14:textId="77777777" w:rsidR="00366885" w:rsidRDefault="00366885">
      <w:r>
        <w:separator/>
      </w:r>
    </w:p>
  </w:endnote>
  <w:endnote w:type="continuationSeparator" w:id="0">
    <w:p w14:paraId="27E6CF1C" w14:textId="77777777" w:rsidR="00366885" w:rsidRDefault="0036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1488E935">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6D31" w14:textId="77777777" w:rsidR="00366885" w:rsidRDefault="00366885">
      <w:r>
        <w:separator/>
      </w:r>
    </w:p>
  </w:footnote>
  <w:footnote w:type="continuationSeparator" w:id="0">
    <w:p w14:paraId="777FA921" w14:textId="77777777" w:rsidR="00366885" w:rsidRDefault="0036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4907" w14:textId="177797AC" w:rsidR="004C7D06" w:rsidRPr="00F71304" w:rsidRDefault="00316BC4">
    <w:pPr>
      <w:pBdr>
        <w:top w:val="nil"/>
        <w:left w:val="nil"/>
        <w:bottom w:val="nil"/>
        <w:right w:val="nil"/>
        <w:between w:val="nil"/>
      </w:pBdr>
      <w:tabs>
        <w:tab w:val="center" w:pos="4252"/>
        <w:tab w:val="right" w:pos="8504"/>
      </w:tabs>
      <w:rPr>
        <w:color w:val="000000"/>
        <w:lang w:val="pt-BR"/>
      </w:rPr>
    </w:pPr>
    <w:r>
      <w:rPr>
        <w:color w:val="000000"/>
      </w:rPr>
      <w:t xml:space="preserve">         </w:t>
    </w:r>
    <w:r>
      <w:rPr>
        <w:noProof/>
      </w:rPr>
      <w:drawing>
        <wp:anchor distT="0" distB="0" distL="114300" distR="114300" simplePos="0" relativeHeight="251658240" behindDoc="0" locked="0" layoutInCell="1" hidden="0" allowOverlap="1" wp14:anchorId="07F624EC" wp14:editId="08F33506">
          <wp:simplePos x="0" y="0"/>
          <wp:positionH relativeFrom="column">
            <wp:posOffset>95251</wp:posOffset>
          </wp:positionH>
          <wp:positionV relativeFrom="paragraph">
            <wp:posOffset>-72389</wp:posOffset>
          </wp:positionV>
          <wp:extent cx="1290320" cy="58102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283" t="20946" r="9912" b="30176"/>
                  <a:stretch>
                    <a:fillRect/>
                  </a:stretch>
                </pic:blipFill>
                <pic:spPr>
                  <a:xfrm>
                    <a:off x="0" y="0"/>
                    <a:ext cx="1290320" cy="581025"/>
                  </a:xfrm>
                  <a:prstGeom prst="rect">
                    <a:avLst/>
                  </a:prstGeom>
                  <a:ln/>
                </pic:spPr>
              </pic:pic>
            </a:graphicData>
          </a:graphic>
        </wp:anchor>
      </w:drawing>
    </w:r>
    <w:r w:rsidR="00647173">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22D13"/>
    <w:rsid w:val="00055016"/>
    <w:rsid w:val="00087937"/>
    <w:rsid w:val="0009383E"/>
    <w:rsid w:val="000D7E62"/>
    <w:rsid w:val="000F63A9"/>
    <w:rsid w:val="001129D0"/>
    <w:rsid w:val="00172BB6"/>
    <w:rsid w:val="001826FC"/>
    <w:rsid w:val="001848B9"/>
    <w:rsid w:val="001D538C"/>
    <w:rsid w:val="00216809"/>
    <w:rsid w:val="002668FA"/>
    <w:rsid w:val="00284200"/>
    <w:rsid w:val="002B1421"/>
    <w:rsid w:val="002B505D"/>
    <w:rsid w:val="00316BC4"/>
    <w:rsid w:val="00366885"/>
    <w:rsid w:val="003A18D0"/>
    <w:rsid w:val="003A7871"/>
    <w:rsid w:val="003B7EFD"/>
    <w:rsid w:val="003D50D3"/>
    <w:rsid w:val="00470EEB"/>
    <w:rsid w:val="004B4DB7"/>
    <w:rsid w:val="004C5D8A"/>
    <w:rsid w:val="004C66DF"/>
    <w:rsid w:val="004C7D06"/>
    <w:rsid w:val="004F4407"/>
    <w:rsid w:val="005403D8"/>
    <w:rsid w:val="00554B75"/>
    <w:rsid w:val="00647173"/>
    <w:rsid w:val="00682393"/>
    <w:rsid w:val="006C14B0"/>
    <w:rsid w:val="006E2581"/>
    <w:rsid w:val="006E2883"/>
    <w:rsid w:val="006E7AE6"/>
    <w:rsid w:val="007272A2"/>
    <w:rsid w:val="007542CA"/>
    <w:rsid w:val="007661CD"/>
    <w:rsid w:val="008074CE"/>
    <w:rsid w:val="00810EA6"/>
    <w:rsid w:val="0083411C"/>
    <w:rsid w:val="00834BA3"/>
    <w:rsid w:val="0084164D"/>
    <w:rsid w:val="00871E7E"/>
    <w:rsid w:val="0087633B"/>
    <w:rsid w:val="009A7397"/>
    <w:rsid w:val="00A248B7"/>
    <w:rsid w:val="00A36DC5"/>
    <w:rsid w:val="00A370E1"/>
    <w:rsid w:val="00AA31F2"/>
    <w:rsid w:val="00AD4FAE"/>
    <w:rsid w:val="00AF08EC"/>
    <w:rsid w:val="00B04F6C"/>
    <w:rsid w:val="00B44FAD"/>
    <w:rsid w:val="00BD5880"/>
    <w:rsid w:val="00C1655A"/>
    <w:rsid w:val="00C2631F"/>
    <w:rsid w:val="00C2776A"/>
    <w:rsid w:val="00C32C78"/>
    <w:rsid w:val="00C36C68"/>
    <w:rsid w:val="00C6308F"/>
    <w:rsid w:val="00C721BD"/>
    <w:rsid w:val="00C8334C"/>
    <w:rsid w:val="00CB5033"/>
    <w:rsid w:val="00CF5CA7"/>
    <w:rsid w:val="00D717F9"/>
    <w:rsid w:val="00DD360D"/>
    <w:rsid w:val="00E47D38"/>
    <w:rsid w:val="00E61E7D"/>
    <w:rsid w:val="00E858C4"/>
    <w:rsid w:val="00EB3025"/>
    <w:rsid w:val="00EB5082"/>
    <w:rsid w:val="00EE4A44"/>
    <w:rsid w:val="00F030D7"/>
    <w:rsid w:val="00F20689"/>
    <w:rsid w:val="00F71304"/>
    <w:rsid w:val="00FA03EE"/>
    <w:rsid w:val="00FA6DFF"/>
    <w:rsid w:val="00FD6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7F9"/>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styleId="Mencinsinresolver">
    <w:name w:val="Unresolved Mention"/>
    <w:basedOn w:val="Fuentedeprrafopredeter"/>
    <w:uiPriority w:val="99"/>
    <w:semiHidden/>
    <w:unhideWhenUsed/>
    <w:rsid w:val="00C2776A"/>
    <w:rPr>
      <w:color w:val="605E5C"/>
      <w:shd w:val="clear" w:color="auto" w:fill="E1DFDD"/>
    </w:rPr>
  </w:style>
  <w:style w:type="paragraph" w:styleId="Prrafodelista">
    <w:name w:val="List Paragraph"/>
    <w:basedOn w:val="Normal"/>
    <w:uiPriority w:val="34"/>
    <w:qFormat/>
    <w:rsid w:val="001D538C"/>
    <w:pPr>
      <w:ind w:left="720"/>
      <w:contextualSpacing/>
    </w:pPr>
  </w:style>
  <w:style w:type="paragraph" w:styleId="Encabezado">
    <w:name w:val="header"/>
    <w:basedOn w:val="Normal"/>
    <w:link w:val="EncabezadoCar"/>
    <w:uiPriority w:val="99"/>
    <w:unhideWhenUsed/>
    <w:rsid w:val="000F63A9"/>
    <w:pPr>
      <w:tabs>
        <w:tab w:val="center" w:pos="4252"/>
        <w:tab w:val="right" w:pos="8504"/>
      </w:tabs>
    </w:pPr>
  </w:style>
  <w:style w:type="character" w:customStyle="1" w:styleId="EncabezadoCar">
    <w:name w:val="Encabezado Car"/>
    <w:basedOn w:val="Fuentedeprrafopredeter"/>
    <w:link w:val="Encabezado"/>
    <w:uiPriority w:val="99"/>
    <w:rsid w:val="000F63A9"/>
  </w:style>
  <w:style w:type="paragraph" w:styleId="Piedepgina">
    <w:name w:val="footer"/>
    <w:basedOn w:val="Normal"/>
    <w:link w:val="PiedepginaCar"/>
    <w:uiPriority w:val="99"/>
    <w:unhideWhenUsed/>
    <w:rsid w:val="000F63A9"/>
    <w:pPr>
      <w:tabs>
        <w:tab w:val="center" w:pos="4252"/>
        <w:tab w:val="right" w:pos="8504"/>
      </w:tabs>
    </w:pPr>
  </w:style>
  <w:style w:type="character" w:customStyle="1" w:styleId="PiedepginaCar">
    <w:name w:val="Pie de página Car"/>
    <w:basedOn w:val="Fuentedeprrafopredeter"/>
    <w:link w:val="Piedepgina"/>
    <w:uiPriority w:val="99"/>
    <w:rsid w:val="000F63A9"/>
  </w:style>
  <w:style w:type="character" w:styleId="Hipervnculovisitado">
    <w:name w:val="FollowedHyperlink"/>
    <w:basedOn w:val="Fuentedeprrafopredeter"/>
    <w:uiPriority w:val="99"/>
    <w:semiHidden/>
    <w:unhideWhenUsed/>
    <w:rsid w:val="00647173"/>
    <w:rPr>
      <w:color w:val="800080" w:themeColor="followedHyperlink"/>
      <w:u w:val="single"/>
    </w:rPr>
  </w:style>
  <w:style w:type="paragraph" w:styleId="Sinespaciado">
    <w:name w:val="No Spacing"/>
    <w:uiPriority w:val="1"/>
    <w:qFormat/>
    <w:rsid w:val="00647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metic.es/es/publicaciones/esquema-de-recomendaciones-y-buenas-practicas-en-la-contratacion-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15A4-9CFE-44DB-80DE-342EBA00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Jiménez</dc:creator>
  <cp:lastModifiedBy>Carmen del Alamo</cp:lastModifiedBy>
  <cp:revision>4</cp:revision>
  <dcterms:created xsi:type="dcterms:W3CDTF">2019-10-11T07:01:00Z</dcterms:created>
  <dcterms:modified xsi:type="dcterms:W3CDTF">2019-10-25T09:41:00Z</dcterms:modified>
</cp:coreProperties>
</file>