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799DC" w14:textId="33321A6B" w:rsidR="002F53ED" w:rsidRPr="0045044E" w:rsidRDefault="0045044E" w:rsidP="0045044E">
      <w:pPr>
        <w:jc w:val="center"/>
        <w:rPr>
          <w:b/>
          <w:color w:val="000000" w:themeColor="text1"/>
          <w:u w:val="single"/>
        </w:rPr>
      </w:pPr>
      <w:r w:rsidRPr="0045044E">
        <w:rPr>
          <w:b/>
          <w:color w:val="000000" w:themeColor="text1"/>
          <w:u w:val="single"/>
        </w:rPr>
        <w:t>AMETIC</w:t>
      </w:r>
      <w:r w:rsidR="00441DAE" w:rsidRPr="0045044E">
        <w:rPr>
          <w:b/>
          <w:color w:val="000000" w:themeColor="text1"/>
          <w:u w:val="single"/>
        </w:rPr>
        <w:t xml:space="preserve"> presenta los resultados del mercado</w:t>
      </w:r>
      <w:r w:rsidR="00DD0234" w:rsidRPr="0045044E">
        <w:rPr>
          <w:b/>
          <w:color w:val="000000" w:themeColor="text1"/>
          <w:u w:val="single"/>
        </w:rPr>
        <w:t xml:space="preserve"> </w:t>
      </w:r>
      <w:r w:rsidR="0029705D" w:rsidRPr="0045044E">
        <w:rPr>
          <w:b/>
          <w:color w:val="000000" w:themeColor="text1"/>
          <w:u w:val="single"/>
        </w:rPr>
        <w:t>TI</w:t>
      </w:r>
      <w:r w:rsidR="00441DAE" w:rsidRPr="0045044E">
        <w:rPr>
          <w:b/>
          <w:color w:val="000000" w:themeColor="text1"/>
          <w:u w:val="single"/>
        </w:rPr>
        <w:t xml:space="preserve"> 201</w:t>
      </w:r>
      <w:r w:rsidRPr="0045044E">
        <w:rPr>
          <w:b/>
          <w:color w:val="000000" w:themeColor="text1"/>
          <w:u w:val="single"/>
        </w:rPr>
        <w:t>8</w:t>
      </w:r>
      <w:r w:rsidR="00301CD8">
        <w:rPr>
          <w:b/>
          <w:color w:val="000000" w:themeColor="text1"/>
          <w:u w:val="single"/>
        </w:rPr>
        <w:t xml:space="preserve"> en España</w:t>
      </w:r>
    </w:p>
    <w:p w14:paraId="6DF7B47E" w14:textId="77777777" w:rsidR="0045044E" w:rsidRPr="0045044E" w:rsidRDefault="0045044E" w:rsidP="0045044E">
      <w:pPr>
        <w:jc w:val="center"/>
        <w:rPr>
          <w:b/>
          <w:color w:val="000000" w:themeColor="text1"/>
          <w:sz w:val="24"/>
          <w:u w:val="single"/>
        </w:rPr>
      </w:pPr>
    </w:p>
    <w:p w14:paraId="777332A4" w14:textId="6EC45823" w:rsidR="00DD0234" w:rsidRPr="00201EE6" w:rsidRDefault="00C93F66" w:rsidP="00301CD8">
      <w:pPr>
        <w:pStyle w:val="Prrafodelista"/>
        <w:ind w:left="0"/>
        <w:jc w:val="center"/>
        <w:rPr>
          <w:rFonts w:eastAsiaTheme="minorHAnsi"/>
          <w:b/>
          <w:color w:val="1C71B8"/>
          <w:sz w:val="38"/>
          <w:szCs w:val="38"/>
          <w:lang w:eastAsia="en-US"/>
        </w:rPr>
      </w:pPr>
      <w:r w:rsidRPr="00201EE6">
        <w:rPr>
          <w:rFonts w:eastAsiaTheme="minorHAnsi"/>
          <w:b/>
          <w:color w:val="1C71B8"/>
          <w:sz w:val="38"/>
          <w:szCs w:val="38"/>
          <w:lang w:eastAsia="en-US"/>
        </w:rPr>
        <w:t xml:space="preserve">La facturación del sector </w:t>
      </w:r>
      <w:r w:rsidR="00D13F49">
        <w:rPr>
          <w:rFonts w:eastAsiaTheme="minorHAnsi"/>
          <w:b/>
          <w:color w:val="1C71B8"/>
          <w:sz w:val="38"/>
          <w:szCs w:val="38"/>
          <w:lang w:eastAsia="en-US"/>
        </w:rPr>
        <w:t>de las Tecnologías de la Información (TI)</w:t>
      </w:r>
      <w:r w:rsidR="00DD0234" w:rsidRPr="00201EE6">
        <w:rPr>
          <w:rFonts w:eastAsiaTheme="minorHAnsi"/>
          <w:b/>
          <w:color w:val="1C71B8"/>
          <w:sz w:val="38"/>
          <w:szCs w:val="38"/>
          <w:lang w:eastAsia="en-US"/>
        </w:rPr>
        <w:t xml:space="preserve"> crece </w:t>
      </w:r>
      <w:r w:rsidR="00301CD8" w:rsidRPr="00201EE6">
        <w:rPr>
          <w:rFonts w:eastAsiaTheme="minorHAnsi"/>
          <w:b/>
          <w:color w:val="1C71B8"/>
          <w:sz w:val="38"/>
          <w:szCs w:val="38"/>
          <w:lang w:eastAsia="en-US"/>
        </w:rPr>
        <w:t>por quinto año consecutivo con un incremento récord del 7,3%</w:t>
      </w:r>
    </w:p>
    <w:p w14:paraId="09A95E0A" w14:textId="77777777" w:rsidR="00301CD8" w:rsidRPr="00301CD8" w:rsidRDefault="00301CD8" w:rsidP="00301CD8">
      <w:pPr>
        <w:pStyle w:val="Prrafodelista"/>
        <w:ind w:left="0"/>
        <w:jc w:val="center"/>
        <w:rPr>
          <w:rFonts w:eastAsiaTheme="minorHAnsi"/>
          <w:b/>
          <w:color w:val="1C71B8"/>
          <w:sz w:val="20"/>
          <w:szCs w:val="39"/>
          <w:lang w:eastAsia="en-US"/>
        </w:rPr>
      </w:pPr>
    </w:p>
    <w:p w14:paraId="662F0103" w14:textId="7B272C92" w:rsidR="00A5051E" w:rsidRDefault="00301CD8" w:rsidP="005F3D50">
      <w:pPr>
        <w:pStyle w:val="Prrafodelista"/>
        <w:numPr>
          <w:ilvl w:val="0"/>
          <w:numId w:val="8"/>
        </w:numPr>
        <w:ind w:left="360"/>
        <w:jc w:val="both"/>
        <w:rPr>
          <w:rFonts w:eastAsiaTheme="minorHAnsi"/>
          <w:b/>
          <w:color w:val="1C71B8"/>
          <w:szCs w:val="22"/>
          <w:lang w:eastAsia="en-US"/>
        </w:rPr>
      </w:pPr>
      <w:r w:rsidRPr="00301CD8">
        <w:rPr>
          <w:rFonts w:eastAsiaTheme="minorHAnsi"/>
          <w:b/>
          <w:color w:val="1C71B8"/>
          <w:szCs w:val="22"/>
          <w:lang w:eastAsia="en-US"/>
        </w:rPr>
        <w:t>La facturación interior del mercado</w:t>
      </w:r>
      <w:r>
        <w:rPr>
          <w:rFonts w:eastAsiaTheme="minorHAnsi"/>
          <w:b/>
          <w:color w:val="1C71B8"/>
          <w:szCs w:val="22"/>
          <w:lang w:eastAsia="en-US"/>
        </w:rPr>
        <w:t xml:space="preserve"> de</w:t>
      </w:r>
      <w:r w:rsidRPr="00301CD8">
        <w:rPr>
          <w:rFonts w:eastAsiaTheme="minorHAnsi"/>
          <w:b/>
          <w:color w:val="1C71B8"/>
          <w:szCs w:val="22"/>
          <w:lang w:eastAsia="en-US"/>
        </w:rPr>
        <w:t xml:space="preserve"> TI español </w:t>
      </w:r>
      <w:r>
        <w:rPr>
          <w:rFonts w:eastAsiaTheme="minorHAnsi"/>
          <w:b/>
          <w:color w:val="1C71B8"/>
          <w:szCs w:val="22"/>
          <w:lang w:eastAsia="en-US"/>
        </w:rPr>
        <w:t>alcanzó el pasado año</w:t>
      </w:r>
      <w:r w:rsidRPr="00301CD8">
        <w:rPr>
          <w:rFonts w:eastAsiaTheme="minorHAnsi"/>
          <w:b/>
          <w:color w:val="1C71B8"/>
          <w:szCs w:val="22"/>
          <w:lang w:eastAsia="en-US"/>
        </w:rPr>
        <w:t xml:space="preserve"> los 26.765 millones</w:t>
      </w:r>
      <w:r>
        <w:rPr>
          <w:rFonts w:eastAsiaTheme="minorHAnsi"/>
          <w:b/>
          <w:color w:val="1C71B8"/>
          <w:szCs w:val="22"/>
          <w:lang w:eastAsia="en-US"/>
        </w:rPr>
        <w:t xml:space="preserve"> de euros. </w:t>
      </w:r>
    </w:p>
    <w:p w14:paraId="3446CA00" w14:textId="77777777" w:rsidR="00A5051E" w:rsidRPr="0029705D" w:rsidRDefault="00A5051E" w:rsidP="005F3D50">
      <w:pPr>
        <w:jc w:val="both"/>
        <w:rPr>
          <w:rFonts w:eastAsiaTheme="minorHAnsi"/>
          <w:b/>
          <w:color w:val="1C71B8"/>
          <w:szCs w:val="22"/>
          <w:lang w:eastAsia="en-US"/>
        </w:rPr>
      </w:pPr>
    </w:p>
    <w:p w14:paraId="5A98E88D" w14:textId="51F30FBF" w:rsidR="00441DAE" w:rsidRDefault="00441DAE" w:rsidP="005F3D50">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 xml:space="preserve">El </w:t>
      </w:r>
      <w:r w:rsidR="0029705D">
        <w:rPr>
          <w:rFonts w:eastAsiaTheme="minorHAnsi"/>
          <w:b/>
          <w:color w:val="1C71B8"/>
          <w:szCs w:val="22"/>
          <w:lang w:eastAsia="en-US"/>
        </w:rPr>
        <w:t xml:space="preserve">segmento </w:t>
      </w:r>
      <w:r w:rsidR="00DD0234">
        <w:rPr>
          <w:rFonts w:eastAsiaTheme="minorHAnsi"/>
          <w:b/>
          <w:color w:val="1C71B8"/>
          <w:szCs w:val="22"/>
          <w:lang w:eastAsia="en-US"/>
        </w:rPr>
        <w:t>de Servicios TI</w:t>
      </w:r>
      <w:r>
        <w:rPr>
          <w:rFonts w:eastAsiaTheme="minorHAnsi"/>
          <w:b/>
          <w:color w:val="1C71B8"/>
          <w:szCs w:val="22"/>
          <w:lang w:eastAsia="en-US"/>
        </w:rPr>
        <w:t xml:space="preserve"> fue el que más </w:t>
      </w:r>
      <w:r w:rsidR="00BA7A6B">
        <w:rPr>
          <w:rFonts w:eastAsiaTheme="minorHAnsi"/>
          <w:b/>
          <w:color w:val="1C71B8"/>
          <w:szCs w:val="22"/>
          <w:lang w:eastAsia="en-US"/>
        </w:rPr>
        <w:t>progresó</w:t>
      </w:r>
      <w:r>
        <w:rPr>
          <w:rFonts w:eastAsiaTheme="minorHAnsi"/>
          <w:b/>
          <w:color w:val="1C71B8"/>
          <w:szCs w:val="22"/>
          <w:lang w:eastAsia="en-US"/>
        </w:rPr>
        <w:t xml:space="preserve"> (</w:t>
      </w:r>
      <w:r w:rsidR="00B81CDF">
        <w:rPr>
          <w:rFonts w:eastAsiaTheme="minorHAnsi"/>
          <w:b/>
          <w:color w:val="1C71B8"/>
          <w:szCs w:val="22"/>
          <w:lang w:eastAsia="en-US"/>
        </w:rPr>
        <w:t>8,8</w:t>
      </w:r>
      <w:r>
        <w:rPr>
          <w:rFonts w:eastAsiaTheme="minorHAnsi"/>
          <w:b/>
          <w:color w:val="1C71B8"/>
          <w:szCs w:val="22"/>
          <w:lang w:eastAsia="en-US"/>
        </w:rPr>
        <w:t>%), seguido de</w:t>
      </w:r>
      <w:r w:rsidR="00DD0234">
        <w:rPr>
          <w:rFonts w:eastAsiaTheme="minorHAnsi"/>
          <w:b/>
          <w:color w:val="1C71B8"/>
          <w:szCs w:val="22"/>
          <w:lang w:eastAsia="en-US"/>
        </w:rPr>
        <w:t>l</w:t>
      </w:r>
      <w:r>
        <w:rPr>
          <w:rFonts w:eastAsiaTheme="minorHAnsi"/>
          <w:b/>
          <w:color w:val="1C71B8"/>
          <w:szCs w:val="22"/>
          <w:lang w:eastAsia="en-US"/>
        </w:rPr>
        <w:t xml:space="preserve"> segmento Software (</w:t>
      </w:r>
      <w:r w:rsidR="00B81CDF">
        <w:rPr>
          <w:rFonts w:eastAsiaTheme="minorHAnsi"/>
          <w:b/>
          <w:color w:val="1C71B8"/>
          <w:szCs w:val="22"/>
          <w:lang w:eastAsia="en-US"/>
        </w:rPr>
        <w:t>7,2</w:t>
      </w:r>
      <w:r>
        <w:rPr>
          <w:rFonts w:eastAsiaTheme="minorHAnsi"/>
          <w:b/>
          <w:color w:val="1C71B8"/>
          <w:szCs w:val="22"/>
          <w:lang w:eastAsia="en-US"/>
        </w:rPr>
        <w:t>%) y Hardware (</w:t>
      </w:r>
      <w:r w:rsidR="00B81CDF">
        <w:rPr>
          <w:rFonts w:eastAsiaTheme="minorHAnsi"/>
          <w:b/>
          <w:color w:val="1C71B8"/>
          <w:szCs w:val="22"/>
          <w:lang w:eastAsia="en-US"/>
        </w:rPr>
        <w:t>1,7</w:t>
      </w:r>
      <w:r>
        <w:rPr>
          <w:rFonts w:eastAsiaTheme="minorHAnsi"/>
          <w:b/>
          <w:color w:val="1C71B8"/>
          <w:szCs w:val="22"/>
          <w:lang w:eastAsia="en-US"/>
        </w:rPr>
        <w:t>%)</w:t>
      </w:r>
      <w:r w:rsidR="00334592">
        <w:rPr>
          <w:rFonts w:eastAsiaTheme="minorHAnsi"/>
          <w:b/>
          <w:color w:val="1C71B8"/>
          <w:szCs w:val="22"/>
          <w:lang w:eastAsia="en-US"/>
        </w:rPr>
        <w:t>.</w:t>
      </w:r>
    </w:p>
    <w:p w14:paraId="2207AB92" w14:textId="77777777" w:rsidR="00441DAE" w:rsidRPr="00441DAE" w:rsidRDefault="00441DAE" w:rsidP="00441DAE">
      <w:pPr>
        <w:pStyle w:val="Prrafodelista"/>
        <w:rPr>
          <w:rFonts w:eastAsiaTheme="minorHAnsi"/>
          <w:b/>
          <w:color w:val="1C71B8"/>
          <w:szCs w:val="22"/>
          <w:lang w:eastAsia="en-US"/>
        </w:rPr>
      </w:pPr>
    </w:p>
    <w:p w14:paraId="1AC029C9" w14:textId="6ADF0453" w:rsidR="00965D81" w:rsidRPr="00594033" w:rsidRDefault="00441DAE" w:rsidP="005F3D50">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 xml:space="preserve">El empleo </w:t>
      </w:r>
      <w:r w:rsidR="00C93F66">
        <w:rPr>
          <w:rFonts w:eastAsiaTheme="minorHAnsi"/>
          <w:b/>
          <w:color w:val="1C71B8"/>
          <w:szCs w:val="22"/>
          <w:lang w:eastAsia="en-US"/>
        </w:rPr>
        <w:t xml:space="preserve">directo TI </w:t>
      </w:r>
      <w:r w:rsidR="00DD0234">
        <w:rPr>
          <w:rFonts w:eastAsiaTheme="minorHAnsi"/>
          <w:b/>
          <w:color w:val="1C71B8"/>
          <w:szCs w:val="22"/>
          <w:lang w:eastAsia="en-US"/>
        </w:rPr>
        <w:t>se eleva hasta los 2</w:t>
      </w:r>
      <w:r w:rsidR="00334592">
        <w:rPr>
          <w:rFonts w:eastAsiaTheme="minorHAnsi"/>
          <w:b/>
          <w:color w:val="1C71B8"/>
          <w:szCs w:val="22"/>
          <w:lang w:eastAsia="en-US"/>
        </w:rPr>
        <w:t>31</w:t>
      </w:r>
      <w:r w:rsidR="00DD0234">
        <w:rPr>
          <w:rFonts w:eastAsiaTheme="minorHAnsi"/>
          <w:b/>
          <w:color w:val="1C71B8"/>
          <w:szCs w:val="22"/>
          <w:lang w:eastAsia="en-US"/>
        </w:rPr>
        <w:t>.</w:t>
      </w:r>
      <w:r w:rsidR="00334592">
        <w:rPr>
          <w:rFonts w:eastAsiaTheme="minorHAnsi"/>
          <w:b/>
          <w:color w:val="1C71B8"/>
          <w:szCs w:val="22"/>
          <w:lang w:eastAsia="en-US"/>
        </w:rPr>
        <w:t>5</w:t>
      </w:r>
      <w:r>
        <w:rPr>
          <w:rFonts w:eastAsiaTheme="minorHAnsi"/>
          <w:b/>
          <w:color w:val="1C71B8"/>
          <w:szCs w:val="22"/>
          <w:lang w:eastAsia="en-US"/>
        </w:rPr>
        <w:t>00 trabajadores, un 6</w:t>
      </w:r>
      <w:r w:rsidR="00334592">
        <w:rPr>
          <w:rFonts w:eastAsiaTheme="minorHAnsi"/>
          <w:b/>
          <w:color w:val="1C71B8"/>
          <w:szCs w:val="22"/>
          <w:lang w:eastAsia="en-US"/>
        </w:rPr>
        <w:t>,8</w:t>
      </w:r>
      <w:r>
        <w:rPr>
          <w:rFonts w:eastAsiaTheme="minorHAnsi"/>
          <w:b/>
          <w:color w:val="1C71B8"/>
          <w:szCs w:val="22"/>
          <w:lang w:eastAsia="en-US"/>
        </w:rPr>
        <w:t>% más</w:t>
      </w:r>
      <w:r w:rsidR="00334592">
        <w:rPr>
          <w:rFonts w:eastAsiaTheme="minorHAnsi"/>
          <w:b/>
          <w:color w:val="1C71B8"/>
          <w:szCs w:val="22"/>
          <w:lang w:eastAsia="en-US"/>
        </w:rPr>
        <w:t>.</w:t>
      </w:r>
    </w:p>
    <w:p w14:paraId="590FB7F2" w14:textId="77777777" w:rsidR="00965D81" w:rsidRPr="00965D81" w:rsidRDefault="00965D81" w:rsidP="00965D81">
      <w:pPr>
        <w:pStyle w:val="Prrafodelista"/>
        <w:ind w:left="720"/>
        <w:jc w:val="both"/>
        <w:rPr>
          <w:rFonts w:eastAsiaTheme="minorHAnsi"/>
          <w:b/>
          <w:color w:val="1C71B8"/>
          <w:szCs w:val="22"/>
          <w:lang w:eastAsia="en-US"/>
        </w:rPr>
      </w:pPr>
    </w:p>
    <w:p w14:paraId="65E18F05" w14:textId="6D8B5966" w:rsidR="00064287" w:rsidRDefault="00965D81" w:rsidP="001E6A5E">
      <w:pPr>
        <w:jc w:val="both"/>
        <w:rPr>
          <w:color w:val="3C3C3C"/>
          <w:sz w:val="20"/>
        </w:rPr>
      </w:pPr>
      <w:r w:rsidRPr="006C59E3">
        <w:rPr>
          <w:b/>
          <w:i/>
          <w:color w:val="3C3C3C"/>
          <w:sz w:val="20"/>
        </w:rPr>
        <w:t xml:space="preserve">Madrid, </w:t>
      </w:r>
      <w:r w:rsidR="001135C2" w:rsidRPr="001135C2">
        <w:rPr>
          <w:b/>
          <w:i/>
          <w:color w:val="3C3C3C"/>
          <w:sz w:val="20"/>
        </w:rPr>
        <w:t>17</w:t>
      </w:r>
      <w:r w:rsidRPr="006C59E3">
        <w:rPr>
          <w:b/>
          <w:i/>
          <w:color w:val="3C3C3C"/>
          <w:sz w:val="20"/>
        </w:rPr>
        <w:t xml:space="preserve"> de </w:t>
      </w:r>
      <w:r w:rsidR="0045044E">
        <w:rPr>
          <w:b/>
          <w:i/>
          <w:color w:val="3C3C3C"/>
          <w:sz w:val="20"/>
        </w:rPr>
        <w:t>junio</w:t>
      </w:r>
      <w:r w:rsidR="00DD0234">
        <w:rPr>
          <w:b/>
          <w:i/>
          <w:color w:val="3C3C3C"/>
          <w:sz w:val="20"/>
        </w:rPr>
        <w:t xml:space="preserve"> </w:t>
      </w:r>
      <w:r w:rsidRPr="006C59E3">
        <w:rPr>
          <w:b/>
          <w:i/>
          <w:color w:val="3C3C3C"/>
          <w:sz w:val="20"/>
        </w:rPr>
        <w:t>de 201</w:t>
      </w:r>
      <w:r w:rsidR="0045044E">
        <w:rPr>
          <w:b/>
          <w:i/>
          <w:color w:val="3C3C3C"/>
          <w:sz w:val="20"/>
        </w:rPr>
        <w:t>9</w:t>
      </w:r>
      <w:r w:rsidRPr="006C59E3">
        <w:rPr>
          <w:b/>
          <w:i/>
          <w:color w:val="3C3C3C"/>
          <w:sz w:val="20"/>
        </w:rPr>
        <w:t>.</w:t>
      </w:r>
      <w:r w:rsidRPr="006C59E3">
        <w:rPr>
          <w:rFonts w:ascii="Roboto" w:hAnsi="Roboto"/>
          <w:b/>
        </w:rPr>
        <w:t xml:space="preserve"> </w:t>
      </w:r>
      <w:r w:rsidR="0045044E">
        <w:rPr>
          <w:color w:val="3C3C3C"/>
          <w:sz w:val="20"/>
        </w:rPr>
        <w:t xml:space="preserve">AMETIC, </w:t>
      </w:r>
      <w:r w:rsidR="006C59E3" w:rsidRPr="006C59E3">
        <w:rPr>
          <w:color w:val="3C3C3C"/>
          <w:sz w:val="20"/>
        </w:rPr>
        <w:t xml:space="preserve">la patronal </w:t>
      </w:r>
      <w:r w:rsidR="005E20CB">
        <w:rPr>
          <w:color w:val="3C3C3C"/>
          <w:sz w:val="20"/>
        </w:rPr>
        <w:t xml:space="preserve">de la industria </w:t>
      </w:r>
      <w:r w:rsidR="006C59E3" w:rsidRPr="006C59E3">
        <w:rPr>
          <w:color w:val="3C3C3C"/>
          <w:sz w:val="20"/>
        </w:rPr>
        <w:t>digital español</w:t>
      </w:r>
      <w:r w:rsidR="005E20CB">
        <w:rPr>
          <w:color w:val="3C3C3C"/>
          <w:sz w:val="20"/>
        </w:rPr>
        <w:t>a</w:t>
      </w:r>
      <w:r w:rsidR="006C59E3">
        <w:rPr>
          <w:color w:val="3C3C3C"/>
          <w:sz w:val="20"/>
        </w:rPr>
        <w:t>,</w:t>
      </w:r>
      <w:r w:rsidR="006C59E3" w:rsidRPr="006C59E3">
        <w:rPr>
          <w:color w:val="3C3C3C"/>
          <w:sz w:val="20"/>
        </w:rPr>
        <w:t xml:space="preserve"> </w:t>
      </w:r>
      <w:r w:rsidR="00DD0234">
        <w:rPr>
          <w:color w:val="3C3C3C"/>
          <w:sz w:val="20"/>
        </w:rPr>
        <w:t>ha presentado lo</w:t>
      </w:r>
      <w:r w:rsidR="00C93F66">
        <w:rPr>
          <w:color w:val="3C3C3C"/>
          <w:sz w:val="20"/>
        </w:rPr>
        <w:t>s resultados d</w:t>
      </w:r>
      <w:r w:rsidR="007740D9" w:rsidRPr="007740D9">
        <w:rPr>
          <w:color w:val="3C3C3C"/>
          <w:sz w:val="20"/>
        </w:rPr>
        <w:t>el sector de las Tecnologías de la Información (TI)</w:t>
      </w:r>
      <w:r w:rsidR="007740D9">
        <w:rPr>
          <w:color w:val="3C3C3C"/>
          <w:sz w:val="20"/>
        </w:rPr>
        <w:t xml:space="preserve"> en España </w:t>
      </w:r>
      <w:r w:rsidR="00DD0234">
        <w:rPr>
          <w:color w:val="3C3C3C"/>
          <w:sz w:val="20"/>
        </w:rPr>
        <w:t>correspondiente</w:t>
      </w:r>
      <w:r w:rsidR="00301CD8">
        <w:rPr>
          <w:color w:val="3C3C3C"/>
          <w:sz w:val="20"/>
        </w:rPr>
        <w:t>s</w:t>
      </w:r>
      <w:r w:rsidR="00DD0234">
        <w:rPr>
          <w:color w:val="3C3C3C"/>
          <w:sz w:val="20"/>
        </w:rPr>
        <w:t xml:space="preserve"> al ejercicio 201</w:t>
      </w:r>
      <w:r w:rsidR="0045044E">
        <w:rPr>
          <w:color w:val="3C3C3C"/>
          <w:sz w:val="20"/>
        </w:rPr>
        <w:t>8</w:t>
      </w:r>
      <w:r w:rsidR="00DD0234">
        <w:rPr>
          <w:color w:val="3C3C3C"/>
          <w:sz w:val="20"/>
        </w:rPr>
        <w:t xml:space="preserve">. </w:t>
      </w:r>
      <w:r w:rsidR="00301CD8">
        <w:rPr>
          <w:color w:val="3C3C3C"/>
          <w:sz w:val="20"/>
        </w:rPr>
        <w:t>Por quinto año consecutivo,</w:t>
      </w:r>
      <w:r w:rsidR="007740D9">
        <w:rPr>
          <w:color w:val="3C3C3C"/>
          <w:sz w:val="20"/>
        </w:rPr>
        <w:t xml:space="preserve"> la industria TI española</w:t>
      </w:r>
      <w:r w:rsidR="00301CD8">
        <w:rPr>
          <w:color w:val="3C3C3C"/>
          <w:sz w:val="20"/>
        </w:rPr>
        <w:t xml:space="preserve"> registra resultados positivos, con un crecimient</w:t>
      </w:r>
      <w:bookmarkStart w:id="0" w:name="_GoBack"/>
      <w:bookmarkEnd w:id="0"/>
      <w:r w:rsidR="00301CD8">
        <w:rPr>
          <w:color w:val="3C3C3C"/>
          <w:sz w:val="20"/>
        </w:rPr>
        <w:t xml:space="preserve">o récord el pasado año del 7,3%, la cifra más alta registrada durante este ciclo alcista. </w:t>
      </w:r>
      <w:r w:rsidR="007740D9">
        <w:rPr>
          <w:color w:val="3C3C3C"/>
          <w:sz w:val="20"/>
        </w:rPr>
        <w:t>De este modo, l</w:t>
      </w:r>
      <w:r w:rsidR="007740D9" w:rsidRPr="007740D9">
        <w:rPr>
          <w:color w:val="3C3C3C"/>
          <w:sz w:val="20"/>
        </w:rPr>
        <w:t xml:space="preserve">a facturación interior del mercado de TI español alcanzó </w:t>
      </w:r>
      <w:r w:rsidR="007740D9">
        <w:rPr>
          <w:color w:val="3C3C3C"/>
          <w:sz w:val="20"/>
        </w:rPr>
        <w:t>en 2018</w:t>
      </w:r>
      <w:r w:rsidR="007740D9" w:rsidRPr="007740D9">
        <w:rPr>
          <w:color w:val="3C3C3C"/>
          <w:sz w:val="20"/>
        </w:rPr>
        <w:t xml:space="preserve"> los 26.765 millones de euros</w:t>
      </w:r>
      <w:r w:rsidR="00064287">
        <w:rPr>
          <w:color w:val="3C3C3C"/>
          <w:sz w:val="20"/>
        </w:rPr>
        <w:t xml:space="preserve">, frente a los 24.946 millones de 2017. </w:t>
      </w:r>
      <w:r w:rsidR="007740D9">
        <w:rPr>
          <w:color w:val="3C3C3C"/>
          <w:sz w:val="20"/>
        </w:rPr>
        <w:t>T</w:t>
      </w:r>
      <w:r w:rsidR="007740D9" w:rsidRPr="007740D9">
        <w:rPr>
          <w:color w:val="3C3C3C"/>
          <w:sz w:val="20"/>
        </w:rPr>
        <w:t>odos los segmentos e indicadores TI analizados</w:t>
      </w:r>
      <w:r w:rsidR="007740D9">
        <w:rPr>
          <w:color w:val="3C3C3C"/>
          <w:sz w:val="20"/>
        </w:rPr>
        <w:t xml:space="preserve"> (Hardware; Software y servicios TI) arrojan un año más</w:t>
      </w:r>
      <w:r w:rsidR="007740D9" w:rsidRPr="007740D9">
        <w:rPr>
          <w:color w:val="3C3C3C"/>
          <w:sz w:val="20"/>
        </w:rPr>
        <w:t xml:space="preserve"> cifras positivas en su evolución</w:t>
      </w:r>
      <w:r w:rsidR="007740D9">
        <w:rPr>
          <w:color w:val="3C3C3C"/>
          <w:sz w:val="20"/>
        </w:rPr>
        <w:t>.</w:t>
      </w:r>
      <w:r w:rsidR="00064287">
        <w:rPr>
          <w:color w:val="3C3C3C"/>
          <w:sz w:val="20"/>
        </w:rPr>
        <w:t xml:space="preserve"> </w:t>
      </w:r>
    </w:p>
    <w:p w14:paraId="3E1B5185" w14:textId="39133DB3" w:rsidR="00064287" w:rsidRDefault="00064287" w:rsidP="001E6A5E">
      <w:pPr>
        <w:jc w:val="both"/>
        <w:rPr>
          <w:color w:val="3C3C3C"/>
          <w:sz w:val="20"/>
        </w:rPr>
      </w:pPr>
    </w:p>
    <w:p w14:paraId="3232C276" w14:textId="765C4E73" w:rsidR="00064287" w:rsidRDefault="00064287" w:rsidP="00334592">
      <w:pPr>
        <w:jc w:val="center"/>
        <w:rPr>
          <w:color w:val="3C3C3C"/>
          <w:sz w:val="20"/>
        </w:rPr>
      </w:pPr>
      <w:r>
        <w:rPr>
          <w:noProof/>
          <w:color w:val="3C3C3C"/>
          <w:sz w:val="20"/>
        </w:rPr>
        <w:drawing>
          <wp:inline distT="0" distB="0" distL="0" distR="0" wp14:anchorId="3E3A8F23" wp14:editId="56DA042C">
            <wp:extent cx="2778589" cy="1157998"/>
            <wp:effectExtent l="0" t="0" r="317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3199" cy="1168254"/>
                    </a:xfrm>
                    <a:prstGeom prst="rect">
                      <a:avLst/>
                    </a:prstGeom>
                    <a:noFill/>
                  </pic:spPr>
                </pic:pic>
              </a:graphicData>
            </a:graphic>
          </wp:inline>
        </w:drawing>
      </w:r>
      <w:r>
        <w:rPr>
          <w:noProof/>
          <w:color w:val="3C3C3C"/>
          <w:sz w:val="20"/>
        </w:rPr>
        <w:drawing>
          <wp:inline distT="0" distB="0" distL="0" distR="0" wp14:anchorId="4AF486B6" wp14:editId="04E3DA87">
            <wp:extent cx="2705100" cy="117377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3795" cy="1181882"/>
                    </a:xfrm>
                    <a:prstGeom prst="rect">
                      <a:avLst/>
                    </a:prstGeom>
                    <a:noFill/>
                  </pic:spPr>
                </pic:pic>
              </a:graphicData>
            </a:graphic>
          </wp:inline>
        </w:drawing>
      </w:r>
    </w:p>
    <w:p w14:paraId="2C27DBCC" w14:textId="77777777" w:rsidR="00064287" w:rsidRDefault="00064287" w:rsidP="001E6A5E">
      <w:pPr>
        <w:jc w:val="both"/>
        <w:rPr>
          <w:color w:val="3C3C3C"/>
          <w:sz w:val="20"/>
        </w:rPr>
      </w:pPr>
    </w:p>
    <w:p w14:paraId="518DF249" w14:textId="00A995FE" w:rsidR="001E6A5E" w:rsidRDefault="007740D9" w:rsidP="001E6A5E">
      <w:pPr>
        <w:jc w:val="both"/>
        <w:rPr>
          <w:color w:val="3C3C3C"/>
          <w:sz w:val="20"/>
        </w:rPr>
      </w:pPr>
      <w:r w:rsidRPr="007740D9">
        <w:rPr>
          <w:color w:val="3C3C3C"/>
          <w:sz w:val="20"/>
        </w:rPr>
        <w:t>La transformación digital de empresas y administraciones, junto con la extensión de las tecnologías en todos los ámbitos de la sociedad, ha impulsado la consolidación de estas cifras de mercado.</w:t>
      </w:r>
      <w:r w:rsidR="00064287">
        <w:rPr>
          <w:color w:val="3C3C3C"/>
          <w:sz w:val="20"/>
        </w:rPr>
        <w:t xml:space="preserve"> </w:t>
      </w:r>
      <w:r w:rsidRPr="007740D9">
        <w:rPr>
          <w:color w:val="3C3C3C"/>
          <w:sz w:val="20"/>
        </w:rPr>
        <w:t xml:space="preserve">El contexto macroeconómico también ha tenido una influencia positiva </w:t>
      </w:r>
      <w:r w:rsidR="00064287">
        <w:rPr>
          <w:color w:val="3C3C3C"/>
          <w:sz w:val="20"/>
        </w:rPr>
        <w:t xml:space="preserve">en la evolución del sector. </w:t>
      </w:r>
      <w:r w:rsidR="00635AA1">
        <w:rPr>
          <w:color w:val="3C3C3C"/>
          <w:sz w:val="20"/>
        </w:rPr>
        <w:t>No obstante, l</w:t>
      </w:r>
      <w:r w:rsidR="00635AA1" w:rsidRPr="00635AA1">
        <w:rPr>
          <w:color w:val="3C3C3C"/>
          <w:sz w:val="20"/>
        </w:rPr>
        <w:t>a ausencia de planes de impulso digital</w:t>
      </w:r>
      <w:r w:rsidR="00635AA1">
        <w:rPr>
          <w:color w:val="3C3C3C"/>
          <w:sz w:val="20"/>
        </w:rPr>
        <w:t>,</w:t>
      </w:r>
      <w:r w:rsidR="00635AA1" w:rsidRPr="00635AA1">
        <w:rPr>
          <w:color w:val="3C3C3C"/>
          <w:sz w:val="20"/>
        </w:rPr>
        <w:t xml:space="preserve"> junto con la congelación presupuestaria en gran parte de las </w:t>
      </w:r>
      <w:r w:rsidR="00635AA1">
        <w:rPr>
          <w:color w:val="3C3C3C"/>
          <w:sz w:val="20"/>
        </w:rPr>
        <w:t>Administraciones Públicas,</w:t>
      </w:r>
      <w:r w:rsidR="00635AA1" w:rsidRPr="00635AA1">
        <w:rPr>
          <w:color w:val="3C3C3C"/>
          <w:sz w:val="20"/>
        </w:rPr>
        <w:t xml:space="preserve"> ha </w:t>
      </w:r>
      <w:r w:rsidR="00635AA1">
        <w:rPr>
          <w:color w:val="3C3C3C"/>
          <w:sz w:val="20"/>
        </w:rPr>
        <w:t xml:space="preserve">supuesto que las cifras registradas durante 2018 sean menores de lo esperado en otro contexto. Las </w:t>
      </w:r>
      <w:r w:rsidR="001E6A5E">
        <w:rPr>
          <w:color w:val="3C3C3C"/>
          <w:sz w:val="20"/>
        </w:rPr>
        <w:t>TI son habilitador</w:t>
      </w:r>
      <w:r w:rsidR="00C93F66">
        <w:rPr>
          <w:color w:val="3C3C3C"/>
          <w:sz w:val="20"/>
        </w:rPr>
        <w:t xml:space="preserve">as del crecimiento económico y los resultados evidencian la </w:t>
      </w:r>
      <w:r w:rsidR="001E6A5E">
        <w:rPr>
          <w:color w:val="3C3C3C"/>
          <w:sz w:val="20"/>
        </w:rPr>
        <w:t xml:space="preserve">correlación directa entre </w:t>
      </w:r>
      <w:r w:rsidR="00C93F66">
        <w:rPr>
          <w:color w:val="3C3C3C"/>
          <w:sz w:val="20"/>
        </w:rPr>
        <w:t>el crecimiento PIB y el de las T</w:t>
      </w:r>
      <w:r w:rsidR="001E6A5E">
        <w:rPr>
          <w:color w:val="3C3C3C"/>
          <w:sz w:val="20"/>
        </w:rPr>
        <w:t xml:space="preserve">ecnologías de la </w:t>
      </w:r>
      <w:r w:rsidR="00C93F66">
        <w:rPr>
          <w:color w:val="3C3C3C"/>
          <w:sz w:val="20"/>
        </w:rPr>
        <w:t>I</w:t>
      </w:r>
      <w:r w:rsidR="001E6A5E">
        <w:rPr>
          <w:color w:val="3C3C3C"/>
          <w:sz w:val="20"/>
        </w:rPr>
        <w:t xml:space="preserve">nformación. </w:t>
      </w:r>
    </w:p>
    <w:p w14:paraId="6BDA694B" w14:textId="77777777" w:rsidR="00BA7A6B" w:rsidRPr="00DA3855" w:rsidRDefault="00BA7A6B" w:rsidP="004802BB">
      <w:pPr>
        <w:jc w:val="both"/>
        <w:rPr>
          <w:color w:val="3C3C3C"/>
          <w:sz w:val="20"/>
        </w:rPr>
      </w:pPr>
    </w:p>
    <w:p w14:paraId="2FB855CB" w14:textId="7D113D94" w:rsidR="00BA7A6B" w:rsidRDefault="00334592" w:rsidP="00BA7A6B">
      <w:pPr>
        <w:jc w:val="both"/>
        <w:rPr>
          <w:color w:val="3C3C3C"/>
          <w:sz w:val="20"/>
        </w:rPr>
      </w:pPr>
      <w:r>
        <w:rPr>
          <w:color w:val="3C3C3C"/>
          <w:sz w:val="20"/>
        </w:rPr>
        <w:t>Para este ejercicio</w:t>
      </w:r>
      <w:r w:rsidR="00BA7A6B" w:rsidRPr="00DA3855">
        <w:rPr>
          <w:color w:val="3C3C3C"/>
          <w:sz w:val="20"/>
        </w:rPr>
        <w:t>,</w:t>
      </w:r>
      <w:r w:rsidR="0029705D" w:rsidRPr="00DA3855">
        <w:rPr>
          <w:color w:val="3C3C3C"/>
          <w:sz w:val="20"/>
        </w:rPr>
        <w:t xml:space="preserve"> </w:t>
      </w:r>
      <w:r w:rsidR="007069CA" w:rsidRPr="00DA3855">
        <w:rPr>
          <w:color w:val="3C3C3C"/>
          <w:sz w:val="20"/>
        </w:rPr>
        <w:t>A</w:t>
      </w:r>
      <w:r>
        <w:rPr>
          <w:color w:val="3C3C3C"/>
          <w:sz w:val="20"/>
        </w:rPr>
        <w:t>METIC</w:t>
      </w:r>
      <w:r w:rsidR="00635AA1">
        <w:rPr>
          <w:color w:val="3C3C3C"/>
          <w:sz w:val="20"/>
        </w:rPr>
        <w:t xml:space="preserve"> considera que </w:t>
      </w:r>
      <w:r w:rsidR="00635AA1" w:rsidRPr="00635AA1">
        <w:rPr>
          <w:color w:val="3C3C3C"/>
          <w:sz w:val="20"/>
        </w:rPr>
        <w:t xml:space="preserve">la transformación digital de </w:t>
      </w:r>
      <w:r w:rsidR="00635AA1">
        <w:rPr>
          <w:color w:val="3C3C3C"/>
          <w:sz w:val="20"/>
        </w:rPr>
        <w:t>la economía española</w:t>
      </w:r>
      <w:r w:rsidR="00635AA1" w:rsidRPr="00635AA1">
        <w:rPr>
          <w:color w:val="3C3C3C"/>
          <w:sz w:val="20"/>
        </w:rPr>
        <w:t>, sin grandes proyectos de referencia, sino el cúmulo de multitud de implantaciones tecnológicas</w:t>
      </w:r>
      <w:r w:rsidR="00635AA1">
        <w:rPr>
          <w:color w:val="3C3C3C"/>
          <w:sz w:val="20"/>
        </w:rPr>
        <w:t>,</w:t>
      </w:r>
      <w:r w:rsidR="00635AA1" w:rsidRPr="00635AA1">
        <w:rPr>
          <w:color w:val="3C3C3C"/>
          <w:sz w:val="20"/>
        </w:rPr>
        <w:t xml:space="preserve"> </w:t>
      </w:r>
      <w:r w:rsidR="00635AA1">
        <w:rPr>
          <w:color w:val="3C3C3C"/>
          <w:sz w:val="20"/>
        </w:rPr>
        <w:t xml:space="preserve">supone la permanencia </w:t>
      </w:r>
      <w:r w:rsidR="00635AA1" w:rsidRPr="00635AA1">
        <w:rPr>
          <w:color w:val="3C3C3C"/>
          <w:sz w:val="20"/>
        </w:rPr>
        <w:t xml:space="preserve">de las tecnologías habilitadoras (Inteligencia Artificial, </w:t>
      </w:r>
      <w:r w:rsidR="00635AA1" w:rsidRPr="00484F37">
        <w:rPr>
          <w:i/>
          <w:color w:val="3C3C3C"/>
          <w:sz w:val="20"/>
        </w:rPr>
        <w:t xml:space="preserve">Big Data, </w:t>
      </w:r>
      <w:proofErr w:type="spellStart"/>
      <w:r w:rsidR="00635AA1" w:rsidRPr="00484F37">
        <w:rPr>
          <w:i/>
          <w:color w:val="3C3C3C"/>
          <w:sz w:val="20"/>
        </w:rPr>
        <w:t>Blockchain</w:t>
      </w:r>
      <w:proofErr w:type="spellEnd"/>
      <w:r w:rsidR="00635AA1" w:rsidRPr="00635AA1">
        <w:rPr>
          <w:color w:val="3C3C3C"/>
          <w:sz w:val="20"/>
        </w:rPr>
        <w:t xml:space="preserve">, </w:t>
      </w:r>
      <w:proofErr w:type="spellStart"/>
      <w:r w:rsidR="00635AA1" w:rsidRPr="00635AA1">
        <w:rPr>
          <w:color w:val="3C3C3C"/>
          <w:sz w:val="20"/>
        </w:rPr>
        <w:t>IoT</w:t>
      </w:r>
      <w:proofErr w:type="spellEnd"/>
      <w:r w:rsidR="00635AA1" w:rsidRPr="00635AA1">
        <w:rPr>
          <w:color w:val="3C3C3C"/>
          <w:sz w:val="20"/>
        </w:rPr>
        <w:t>, Computación</w:t>
      </w:r>
      <w:r w:rsidR="00484F37">
        <w:rPr>
          <w:color w:val="3C3C3C"/>
          <w:sz w:val="20"/>
        </w:rPr>
        <w:t xml:space="preserve"> C</w:t>
      </w:r>
      <w:r w:rsidR="00635AA1" w:rsidRPr="00635AA1">
        <w:rPr>
          <w:color w:val="3C3C3C"/>
          <w:sz w:val="20"/>
        </w:rPr>
        <w:t>uántica…)</w:t>
      </w:r>
      <w:r w:rsidR="00484F37">
        <w:rPr>
          <w:color w:val="3C3C3C"/>
          <w:sz w:val="20"/>
        </w:rPr>
        <w:t xml:space="preserve"> </w:t>
      </w:r>
      <w:r w:rsidR="00635AA1" w:rsidRPr="00635AA1">
        <w:rPr>
          <w:color w:val="3C3C3C"/>
          <w:sz w:val="20"/>
        </w:rPr>
        <w:t xml:space="preserve">como tendencia </w:t>
      </w:r>
      <w:r w:rsidR="00635AA1">
        <w:rPr>
          <w:color w:val="3C3C3C"/>
          <w:sz w:val="20"/>
        </w:rPr>
        <w:t>relevante durante este 2019. En este sentido, l</w:t>
      </w:r>
      <w:r w:rsidR="00635AA1" w:rsidRPr="00635AA1">
        <w:rPr>
          <w:color w:val="3C3C3C"/>
          <w:sz w:val="20"/>
        </w:rPr>
        <w:t xml:space="preserve">a </w:t>
      </w:r>
      <w:r w:rsidR="00484F37">
        <w:rPr>
          <w:color w:val="3C3C3C"/>
          <w:sz w:val="20"/>
        </w:rPr>
        <w:t>C</w:t>
      </w:r>
      <w:r w:rsidR="00635AA1" w:rsidRPr="00635AA1">
        <w:rPr>
          <w:color w:val="3C3C3C"/>
          <w:sz w:val="20"/>
        </w:rPr>
        <w:t xml:space="preserve">iberseguridad y el </w:t>
      </w:r>
      <w:r w:rsidR="00484F37" w:rsidRPr="00484F37">
        <w:rPr>
          <w:i/>
          <w:color w:val="3C3C3C"/>
          <w:sz w:val="20"/>
        </w:rPr>
        <w:t>C</w:t>
      </w:r>
      <w:r w:rsidR="00635AA1" w:rsidRPr="00484F37">
        <w:rPr>
          <w:i/>
          <w:color w:val="3C3C3C"/>
          <w:sz w:val="20"/>
        </w:rPr>
        <w:t xml:space="preserve">loud </w:t>
      </w:r>
      <w:r w:rsidR="00484F37" w:rsidRPr="00484F37">
        <w:rPr>
          <w:i/>
          <w:color w:val="3C3C3C"/>
          <w:sz w:val="20"/>
        </w:rPr>
        <w:t>C</w:t>
      </w:r>
      <w:r w:rsidR="00635AA1" w:rsidRPr="00484F37">
        <w:rPr>
          <w:i/>
          <w:color w:val="3C3C3C"/>
          <w:sz w:val="20"/>
        </w:rPr>
        <w:t>omputing</w:t>
      </w:r>
      <w:r w:rsidR="00B81CDF">
        <w:rPr>
          <w:color w:val="3C3C3C"/>
          <w:sz w:val="20"/>
        </w:rPr>
        <w:t xml:space="preserve"> </w:t>
      </w:r>
      <w:r w:rsidR="00635AA1" w:rsidRPr="00635AA1">
        <w:rPr>
          <w:color w:val="3C3C3C"/>
          <w:sz w:val="20"/>
        </w:rPr>
        <w:t>se mantienen como base y referencia de todas las soluciones tecnológicas</w:t>
      </w:r>
      <w:r w:rsidR="00484F37">
        <w:rPr>
          <w:color w:val="3C3C3C"/>
          <w:sz w:val="20"/>
        </w:rPr>
        <w:t xml:space="preserve">. </w:t>
      </w:r>
      <w:r w:rsidR="00635AA1">
        <w:rPr>
          <w:color w:val="3C3C3C"/>
          <w:sz w:val="20"/>
        </w:rPr>
        <w:t xml:space="preserve"> </w:t>
      </w:r>
    </w:p>
    <w:p w14:paraId="6E29E073" w14:textId="77777777" w:rsidR="00EE4BD4" w:rsidRDefault="00EE4BD4" w:rsidP="004802BB">
      <w:pPr>
        <w:jc w:val="both"/>
        <w:rPr>
          <w:color w:val="3C3C3C"/>
          <w:sz w:val="20"/>
        </w:rPr>
      </w:pPr>
    </w:p>
    <w:p w14:paraId="015808D7" w14:textId="39F709BC" w:rsidR="00EE4BD4" w:rsidRPr="00D41818" w:rsidRDefault="00EE4BD4" w:rsidP="005F3D50">
      <w:pPr>
        <w:jc w:val="both"/>
        <w:rPr>
          <w:b/>
          <w:color w:val="3C3C3C"/>
          <w:sz w:val="20"/>
        </w:rPr>
      </w:pPr>
      <w:r w:rsidRPr="00D41818">
        <w:rPr>
          <w:b/>
          <w:color w:val="3C3C3C"/>
          <w:sz w:val="20"/>
        </w:rPr>
        <w:t xml:space="preserve">Información por </w:t>
      </w:r>
      <w:r w:rsidR="005C2606">
        <w:rPr>
          <w:b/>
          <w:color w:val="3C3C3C"/>
          <w:sz w:val="20"/>
        </w:rPr>
        <w:t>segmentos</w:t>
      </w:r>
    </w:p>
    <w:p w14:paraId="6625E0CA" w14:textId="77777777" w:rsidR="00954A04" w:rsidRPr="00770A7D" w:rsidRDefault="00954A04" w:rsidP="005F3D50">
      <w:pPr>
        <w:jc w:val="both"/>
        <w:rPr>
          <w:b/>
          <w:color w:val="3C3C3C"/>
          <w:sz w:val="20"/>
          <w:u w:val="single"/>
        </w:rPr>
      </w:pPr>
    </w:p>
    <w:p w14:paraId="315C559A" w14:textId="5FC80A3D" w:rsidR="006B1AF8" w:rsidRDefault="00356933" w:rsidP="00954A04">
      <w:pPr>
        <w:jc w:val="both"/>
        <w:rPr>
          <w:color w:val="3C3C3C"/>
          <w:sz w:val="20"/>
        </w:rPr>
      </w:pPr>
      <w:r>
        <w:rPr>
          <w:color w:val="3C3C3C"/>
          <w:sz w:val="20"/>
        </w:rPr>
        <w:t>Los</w:t>
      </w:r>
      <w:r w:rsidR="006B1AF8">
        <w:rPr>
          <w:color w:val="3C3C3C"/>
          <w:sz w:val="20"/>
        </w:rPr>
        <w:t xml:space="preserve"> tres principales </w:t>
      </w:r>
      <w:r>
        <w:rPr>
          <w:color w:val="3C3C3C"/>
          <w:sz w:val="20"/>
        </w:rPr>
        <w:t>segmentos</w:t>
      </w:r>
      <w:r w:rsidR="006B1AF8">
        <w:rPr>
          <w:color w:val="3C3C3C"/>
          <w:sz w:val="20"/>
        </w:rPr>
        <w:t xml:space="preserve"> de actividad </w:t>
      </w:r>
      <w:r w:rsidR="00DA3855">
        <w:rPr>
          <w:color w:val="3C3C3C"/>
          <w:sz w:val="20"/>
        </w:rPr>
        <w:t xml:space="preserve">que conforman el mercado TI </w:t>
      </w:r>
      <w:r w:rsidR="006B1AF8">
        <w:rPr>
          <w:color w:val="3C3C3C"/>
          <w:sz w:val="20"/>
        </w:rPr>
        <w:t xml:space="preserve">han registrado </w:t>
      </w:r>
      <w:r>
        <w:rPr>
          <w:color w:val="3C3C3C"/>
          <w:sz w:val="20"/>
        </w:rPr>
        <w:t xml:space="preserve">una </w:t>
      </w:r>
      <w:r w:rsidR="00954A04">
        <w:rPr>
          <w:color w:val="3C3C3C"/>
          <w:sz w:val="20"/>
        </w:rPr>
        <w:t>progres</w:t>
      </w:r>
      <w:r w:rsidR="00DA3855">
        <w:rPr>
          <w:color w:val="3C3C3C"/>
          <w:sz w:val="20"/>
        </w:rPr>
        <w:t>ión positiva</w:t>
      </w:r>
      <w:r>
        <w:rPr>
          <w:color w:val="3C3C3C"/>
          <w:sz w:val="20"/>
        </w:rPr>
        <w:t xml:space="preserve">: los Servicios TI han crecido un </w:t>
      </w:r>
      <w:r w:rsidR="00B81CDF">
        <w:rPr>
          <w:color w:val="3C3C3C"/>
          <w:sz w:val="20"/>
        </w:rPr>
        <w:t>8,8</w:t>
      </w:r>
      <w:r>
        <w:rPr>
          <w:color w:val="3C3C3C"/>
          <w:sz w:val="20"/>
        </w:rPr>
        <w:t>% y han alcanzado una facturación de 1</w:t>
      </w:r>
      <w:r w:rsidR="00B81CDF">
        <w:rPr>
          <w:color w:val="3C3C3C"/>
          <w:sz w:val="20"/>
        </w:rPr>
        <w:t>8.</w:t>
      </w:r>
      <w:r w:rsidR="00217EDD">
        <w:rPr>
          <w:color w:val="3C3C3C"/>
          <w:sz w:val="20"/>
        </w:rPr>
        <w:t>661</w:t>
      </w:r>
      <w:r>
        <w:rPr>
          <w:color w:val="3C3C3C"/>
          <w:sz w:val="20"/>
        </w:rPr>
        <w:t xml:space="preserve"> millones de euros; </w:t>
      </w:r>
      <w:r w:rsidR="006B1AF8">
        <w:rPr>
          <w:color w:val="3C3C3C"/>
          <w:sz w:val="20"/>
        </w:rPr>
        <w:t xml:space="preserve">el mercado del </w:t>
      </w:r>
      <w:r>
        <w:rPr>
          <w:color w:val="3C3C3C"/>
          <w:sz w:val="20"/>
        </w:rPr>
        <w:t xml:space="preserve">Software ascendió un </w:t>
      </w:r>
      <w:r w:rsidR="00B81CDF">
        <w:rPr>
          <w:color w:val="3C3C3C"/>
          <w:sz w:val="20"/>
        </w:rPr>
        <w:t>7,2</w:t>
      </w:r>
      <w:r w:rsidR="006B1AF8">
        <w:rPr>
          <w:color w:val="3C3C3C"/>
          <w:sz w:val="20"/>
        </w:rPr>
        <w:t xml:space="preserve">% y obtuvo </w:t>
      </w:r>
      <w:r>
        <w:rPr>
          <w:color w:val="3C3C3C"/>
          <w:sz w:val="20"/>
        </w:rPr>
        <w:t>3.</w:t>
      </w:r>
      <w:r w:rsidR="00B81CDF">
        <w:rPr>
          <w:color w:val="3C3C3C"/>
          <w:sz w:val="20"/>
        </w:rPr>
        <w:t>501</w:t>
      </w:r>
      <w:r>
        <w:rPr>
          <w:color w:val="3C3C3C"/>
          <w:sz w:val="20"/>
        </w:rPr>
        <w:t xml:space="preserve"> </w:t>
      </w:r>
      <w:r w:rsidR="006B1AF8">
        <w:rPr>
          <w:color w:val="3C3C3C"/>
          <w:sz w:val="20"/>
        </w:rPr>
        <w:t>mill</w:t>
      </w:r>
      <w:r>
        <w:rPr>
          <w:color w:val="3C3C3C"/>
          <w:sz w:val="20"/>
        </w:rPr>
        <w:t>ones de euros; y el de Hardware</w:t>
      </w:r>
      <w:r w:rsidR="00B81CDF">
        <w:rPr>
          <w:color w:val="3C3C3C"/>
          <w:sz w:val="20"/>
        </w:rPr>
        <w:t>,</w:t>
      </w:r>
      <w:r>
        <w:rPr>
          <w:color w:val="3C3C3C"/>
          <w:sz w:val="20"/>
        </w:rPr>
        <w:t xml:space="preserve"> un </w:t>
      </w:r>
      <w:r w:rsidR="00B81CDF">
        <w:rPr>
          <w:color w:val="3C3C3C"/>
          <w:sz w:val="20"/>
        </w:rPr>
        <w:t>1,7</w:t>
      </w:r>
      <w:r>
        <w:rPr>
          <w:color w:val="3C3C3C"/>
          <w:sz w:val="20"/>
        </w:rPr>
        <w:t>% con 4</w:t>
      </w:r>
      <w:r w:rsidR="00B81CDF">
        <w:rPr>
          <w:color w:val="3C3C3C"/>
          <w:sz w:val="20"/>
        </w:rPr>
        <w:t>.653</w:t>
      </w:r>
      <w:r>
        <w:rPr>
          <w:color w:val="3C3C3C"/>
          <w:sz w:val="20"/>
        </w:rPr>
        <w:t xml:space="preserve"> millones de euros. </w:t>
      </w:r>
    </w:p>
    <w:p w14:paraId="290C506D" w14:textId="5A648411" w:rsidR="00EE4BD4" w:rsidRDefault="00EE4BD4" w:rsidP="00954A04">
      <w:pPr>
        <w:jc w:val="both"/>
        <w:rPr>
          <w:b/>
          <w:color w:val="3C3C3C"/>
          <w:sz w:val="20"/>
        </w:rPr>
      </w:pPr>
    </w:p>
    <w:p w14:paraId="5E9168D0" w14:textId="5658E09E" w:rsidR="008457A9" w:rsidRDefault="008457A9" w:rsidP="00954A04">
      <w:pPr>
        <w:jc w:val="both"/>
        <w:rPr>
          <w:b/>
          <w:color w:val="3C3C3C"/>
          <w:sz w:val="20"/>
        </w:rPr>
      </w:pPr>
    </w:p>
    <w:p w14:paraId="2AADFFE4" w14:textId="703E9648" w:rsidR="005E20CB" w:rsidRDefault="005E20CB" w:rsidP="00954A04">
      <w:pPr>
        <w:jc w:val="both"/>
        <w:rPr>
          <w:b/>
          <w:color w:val="3C3C3C"/>
          <w:sz w:val="20"/>
        </w:rPr>
      </w:pPr>
    </w:p>
    <w:p w14:paraId="2C183ACC" w14:textId="38947AA7" w:rsidR="005E20CB" w:rsidRDefault="005E20CB" w:rsidP="00954A04">
      <w:pPr>
        <w:jc w:val="both"/>
        <w:rPr>
          <w:b/>
          <w:color w:val="3C3C3C"/>
          <w:sz w:val="20"/>
        </w:rPr>
      </w:pPr>
    </w:p>
    <w:p w14:paraId="33322AA4" w14:textId="77777777" w:rsidR="005E20CB" w:rsidRDefault="005E20CB" w:rsidP="00954A04">
      <w:pPr>
        <w:jc w:val="both"/>
        <w:rPr>
          <w:b/>
          <w:color w:val="3C3C3C"/>
          <w:sz w:val="20"/>
        </w:rPr>
      </w:pPr>
    </w:p>
    <w:p w14:paraId="7423A571" w14:textId="3026127D" w:rsidR="0039485B" w:rsidRDefault="0039485B" w:rsidP="00954A04">
      <w:pPr>
        <w:jc w:val="both"/>
        <w:rPr>
          <w:b/>
          <w:color w:val="3C3C3C"/>
          <w:sz w:val="20"/>
        </w:rPr>
      </w:pPr>
      <w:r w:rsidRPr="00770A7D">
        <w:rPr>
          <w:b/>
          <w:color w:val="3C3C3C"/>
          <w:sz w:val="20"/>
        </w:rPr>
        <w:t>Servicios TI</w:t>
      </w:r>
    </w:p>
    <w:p w14:paraId="3FA02133" w14:textId="77777777" w:rsidR="00893E06" w:rsidRPr="00770A7D" w:rsidRDefault="00893E06" w:rsidP="00954A04">
      <w:pPr>
        <w:jc w:val="both"/>
        <w:rPr>
          <w:b/>
          <w:color w:val="3C3C3C"/>
          <w:sz w:val="20"/>
        </w:rPr>
      </w:pPr>
    </w:p>
    <w:p w14:paraId="7DF525C0" w14:textId="797C5D08" w:rsidR="00685567" w:rsidRDefault="00E1091D" w:rsidP="008457A9">
      <w:pPr>
        <w:autoSpaceDE w:val="0"/>
        <w:autoSpaceDN w:val="0"/>
        <w:adjustRightInd w:val="0"/>
        <w:jc w:val="both"/>
        <w:rPr>
          <w:color w:val="3C3C3C"/>
          <w:sz w:val="20"/>
        </w:rPr>
      </w:pPr>
      <w:r w:rsidRPr="00E1091D">
        <w:rPr>
          <w:color w:val="3C3C3C"/>
          <w:sz w:val="20"/>
        </w:rPr>
        <w:t xml:space="preserve">Los servicios TI </w:t>
      </w:r>
      <w:r>
        <w:rPr>
          <w:color w:val="3C3C3C"/>
          <w:sz w:val="20"/>
        </w:rPr>
        <w:t>están creciendo</w:t>
      </w:r>
      <w:r w:rsidRPr="00E1091D">
        <w:rPr>
          <w:color w:val="3C3C3C"/>
          <w:sz w:val="20"/>
        </w:rPr>
        <w:t xml:space="preserve"> en los</w:t>
      </w:r>
      <w:r>
        <w:rPr>
          <w:color w:val="3C3C3C"/>
          <w:sz w:val="20"/>
        </w:rPr>
        <w:t xml:space="preserve"> </w:t>
      </w:r>
      <w:r w:rsidRPr="00E1091D">
        <w:rPr>
          <w:color w:val="3C3C3C"/>
          <w:sz w:val="20"/>
        </w:rPr>
        <w:t xml:space="preserve">últimos años por encima de la media sectorial y se consolidan como </w:t>
      </w:r>
      <w:r w:rsidR="00893E06">
        <w:rPr>
          <w:color w:val="3C3C3C"/>
          <w:sz w:val="20"/>
        </w:rPr>
        <w:t xml:space="preserve">el </w:t>
      </w:r>
      <w:r w:rsidRPr="00E1091D">
        <w:rPr>
          <w:color w:val="3C3C3C"/>
          <w:sz w:val="20"/>
        </w:rPr>
        <w:t xml:space="preserve">segmento </w:t>
      </w:r>
      <w:r>
        <w:rPr>
          <w:color w:val="3C3C3C"/>
          <w:sz w:val="20"/>
        </w:rPr>
        <w:t>con mayor volumen de ingresos</w:t>
      </w:r>
      <w:r w:rsidR="00893E06">
        <w:rPr>
          <w:color w:val="3C3C3C"/>
          <w:sz w:val="20"/>
        </w:rPr>
        <w:t>: s</w:t>
      </w:r>
      <w:r w:rsidRPr="00E1091D">
        <w:rPr>
          <w:color w:val="3C3C3C"/>
          <w:sz w:val="20"/>
        </w:rPr>
        <w:t xml:space="preserve">uponen </w:t>
      </w:r>
      <w:r>
        <w:rPr>
          <w:color w:val="3C3C3C"/>
          <w:sz w:val="20"/>
        </w:rPr>
        <w:t xml:space="preserve">ya </w:t>
      </w:r>
      <w:r w:rsidRPr="00E1091D">
        <w:rPr>
          <w:color w:val="3C3C3C"/>
          <w:sz w:val="20"/>
        </w:rPr>
        <w:t>el 70% de la facturación del sector español.</w:t>
      </w:r>
      <w:r w:rsidR="00685567">
        <w:rPr>
          <w:color w:val="3C3C3C"/>
          <w:sz w:val="20"/>
        </w:rPr>
        <w:t xml:space="preserve"> </w:t>
      </w:r>
      <w:r w:rsidR="00893E06">
        <w:rPr>
          <w:color w:val="3C3C3C"/>
          <w:sz w:val="20"/>
        </w:rPr>
        <w:t>En este sentido, l</w:t>
      </w:r>
      <w:r w:rsidR="008457A9" w:rsidRPr="008457A9">
        <w:rPr>
          <w:color w:val="3C3C3C"/>
          <w:sz w:val="20"/>
        </w:rPr>
        <w:t>a creciente incorporación de valor añadido repercute positivamente en el número y volumen de los servicios tecnológicos contratados, con soluciones personalizadas a cada cliente como fórmula cada vez más generalizada</w:t>
      </w:r>
      <w:r w:rsidR="00685567">
        <w:rPr>
          <w:color w:val="3C3C3C"/>
          <w:sz w:val="20"/>
        </w:rPr>
        <w:t xml:space="preserve">. </w:t>
      </w:r>
    </w:p>
    <w:p w14:paraId="27BAB3BC" w14:textId="77777777" w:rsidR="00685567" w:rsidRDefault="00685567" w:rsidP="008457A9">
      <w:pPr>
        <w:autoSpaceDE w:val="0"/>
        <w:autoSpaceDN w:val="0"/>
        <w:adjustRightInd w:val="0"/>
        <w:jc w:val="both"/>
        <w:rPr>
          <w:color w:val="3C3C3C"/>
          <w:sz w:val="20"/>
        </w:rPr>
      </w:pPr>
    </w:p>
    <w:p w14:paraId="4DB90813" w14:textId="1BDDB683" w:rsidR="008457A9" w:rsidRPr="008457A9" w:rsidRDefault="00685567" w:rsidP="008457A9">
      <w:pPr>
        <w:autoSpaceDE w:val="0"/>
        <w:autoSpaceDN w:val="0"/>
        <w:adjustRightInd w:val="0"/>
        <w:jc w:val="both"/>
        <w:rPr>
          <w:color w:val="3C3C3C"/>
          <w:sz w:val="20"/>
        </w:rPr>
      </w:pPr>
      <w:r>
        <w:rPr>
          <w:color w:val="3C3C3C"/>
          <w:sz w:val="20"/>
        </w:rPr>
        <w:t xml:space="preserve">Durante 2018, han crecido </w:t>
      </w:r>
      <w:r w:rsidR="008457A9" w:rsidRPr="008457A9">
        <w:rPr>
          <w:color w:val="3C3C3C"/>
          <w:sz w:val="20"/>
        </w:rPr>
        <w:t>todas las líneas de actividad del segmento de servicios TI (Consultoría, Explotación, Soporte, Desarrollo e implantación)</w:t>
      </w:r>
      <w:r>
        <w:rPr>
          <w:color w:val="3C3C3C"/>
          <w:sz w:val="20"/>
        </w:rPr>
        <w:t xml:space="preserve">. Destaca </w:t>
      </w:r>
      <w:r w:rsidR="008457A9" w:rsidRPr="008457A9">
        <w:rPr>
          <w:color w:val="3C3C3C"/>
          <w:sz w:val="20"/>
        </w:rPr>
        <w:t xml:space="preserve">el </w:t>
      </w:r>
      <w:r>
        <w:rPr>
          <w:color w:val="3C3C3C"/>
          <w:sz w:val="20"/>
        </w:rPr>
        <w:t xml:space="preserve">incremento de </w:t>
      </w:r>
      <w:r w:rsidR="008457A9" w:rsidRPr="008457A9">
        <w:rPr>
          <w:color w:val="3C3C3C"/>
          <w:sz w:val="20"/>
        </w:rPr>
        <w:t xml:space="preserve">la demanda de servicios de consultoría, basado </w:t>
      </w:r>
      <w:r w:rsidR="00893E06">
        <w:rPr>
          <w:color w:val="3C3C3C"/>
          <w:sz w:val="20"/>
        </w:rPr>
        <w:t>principalmente</w:t>
      </w:r>
      <w:r w:rsidR="008457A9" w:rsidRPr="008457A9">
        <w:rPr>
          <w:color w:val="3C3C3C"/>
          <w:sz w:val="20"/>
        </w:rPr>
        <w:t xml:space="preserve"> en la transformación digital de grandes y medianas empresas.</w:t>
      </w:r>
    </w:p>
    <w:p w14:paraId="4E77992B" w14:textId="56CD3805" w:rsidR="008457A9" w:rsidRDefault="00893E06" w:rsidP="008457A9">
      <w:pPr>
        <w:autoSpaceDE w:val="0"/>
        <w:autoSpaceDN w:val="0"/>
        <w:adjustRightInd w:val="0"/>
        <w:jc w:val="both"/>
        <w:rPr>
          <w:color w:val="3C3C3C"/>
          <w:sz w:val="20"/>
        </w:rPr>
      </w:pPr>
      <w:r>
        <w:rPr>
          <w:color w:val="3C3C3C"/>
          <w:sz w:val="20"/>
        </w:rPr>
        <w:t>Por otro lado, e</w:t>
      </w:r>
      <w:r w:rsidR="008457A9" w:rsidRPr="008457A9">
        <w:rPr>
          <w:color w:val="3C3C3C"/>
          <w:sz w:val="20"/>
        </w:rPr>
        <w:t xml:space="preserve">l </w:t>
      </w:r>
      <w:r>
        <w:rPr>
          <w:color w:val="3C3C3C"/>
          <w:sz w:val="20"/>
        </w:rPr>
        <w:t>aumento</w:t>
      </w:r>
      <w:r w:rsidR="008457A9" w:rsidRPr="008457A9">
        <w:rPr>
          <w:color w:val="3C3C3C"/>
          <w:sz w:val="20"/>
        </w:rPr>
        <w:t xml:space="preserve"> de la edad media del parque tecnológico y las necesidades implícitas de actividades de mantenimiento</w:t>
      </w:r>
      <w:r>
        <w:rPr>
          <w:color w:val="3C3C3C"/>
          <w:sz w:val="20"/>
        </w:rPr>
        <w:t xml:space="preserve">, </w:t>
      </w:r>
      <w:r w:rsidR="008457A9" w:rsidRPr="008457A9">
        <w:rPr>
          <w:color w:val="3C3C3C"/>
          <w:sz w:val="20"/>
        </w:rPr>
        <w:t>tiene</w:t>
      </w:r>
      <w:r>
        <w:rPr>
          <w:color w:val="3C3C3C"/>
          <w:sz w:val="20"/>
        </w:rPr>
        <w:t>n</w:t>
      </w:r>
      <w:r w:rsidR="008457A9" w:rsidRPr="008457A9">
        <w:rPr>
          <w:color w:val="3C3C3C"/>
          <w:sz w:val="20"/>
        </w:rPr>
        <w:t xml:space="preserve"> su reflejo en el </w:t>
      </w:r>
      <w:r>
        <w:rPr>
          <w:color w:val="3C3C3C"/>
          <w:sz w:val="20"/>
        </w:rPr>
        <w:t>auge</w:t>
      </w:r>
      <w:r w:rsidR="008457A9" w:rsidRPr="008457A9">
        <w:rPr>
          <w:color w:val="3C3C3C"/>
          <w:sz w:val="20"/>
        </w:rPr>
        <w:t xml:space="preserve"> de los servicios de soporte.</w:t>
      </w:r>
    </w:p>
    <w:p w14:paraId="21255E26" w14:textId="77777777" w:rsidR="00893E06" w:rsidRPr="008457A9" w:rsidRDefault="00893E06" w:rsidP="008457A9">
      <w:pPr>
        <w:autoSpaceDE w:val="0"/>
        <w:autoSpaceDN w:val="0"/>
        <w:adjustRightInd w:val="0"/>
        <w:jc w:val="both"/>
        <w:rPr>
          <w:color w:val="3C3C3C"/>
          <w:sz w:val="20"/>
        </w:rPr>
      </w:pPr>
    </w:p>
    <w:p w14:paraId="544A75A1" w14:textId="5CF572E9" w:rsidR="002A5F16" w:rsidRPr="00E16CA7" w:rsidRDefault="008457A9" w:rsidP="008457A9">
      <w:pPr>
        <w:autoSpaceDE w:val="0"/>
        <w:autoSpaceDN w:val="0"/>
        <w:adjustRightInd w:val="0"/>
        <w:jc w:val="both"/>
        <w:rPr>
          <w:color w:val="3C3C3C"/>
          <w:sz w:val="20"/>
        </w:rPr>
      </w:pPr>
      <w:r w:rsidRPr="008457A9">
        <w:rPr>
          <w:color w:val="3C3C3C"/>
          <w:sz w:val="20"/>
        </w:rPr>
        <w:t xml:space="preserve">Por sectores, cabe destacar el </w:t>
      </w:r>
      <w:r w:rsidR="00893E06">
        <w:rPr>
          <w:color w:val="3C3C3C"/>
          <w:sz w:val="20"/>
        </w:rPr>
        <w:t>crecimiento</w:t>
      </w:r>
      <w:r w:rsidRPr="008457A9">
        <w:rPr>
          <w:color w:val="3C3C3C"/>
          <w:sz w:val="20"/>
        </w:rPr>
        <w:t xml:space="preserve"> de la inversión en los sectores financiero, energía e industria, aumentando la tendencia a la externalización de aquellas actividades que no conforman el centro del negocio</w:t>
      </w:r>
      <w:r w:rsidR="00893E06">
        <w:rPr>
          <w:color w:val="3C3C3C"/>
          <w:sz w:val="20"/>
        </w:rPr>
        <w:t>. De cara a 2019, las expectativas son positivas</w:t>
      </w:r>
      <w:r w:rsidRPr="008457A9">
        <w:rPr>
          <w:color w:val="3C3C3C"/>
          <w:sz w:val="20"/>
        </w:rPr>
        <w:t xml:space="preserve">, </w:t>
      </w:r>
      <w:r w:rsidR="00893E06">
        <w:rPr>
          <w:color w:val="3C3C3C"/>
          <w:sz w:val="20"/>
        </w:rPr>
        <w:t xml:space="preserve">aunque </w:t>
      </w:r>
      <w:r w:rsidRPr="008457A9">
        <w:rPr>
          <w:color w:val="3C3C3C"/>
          <w:sz w:val="20"/>
        </w:rPr>
        <w:t>se verán muy influenciadas por el contexto macroeconómico y político nacional e internacional.</w:t>
      </w:r>
    </w:p>
    <w:p w14:paraId="6BFC3CAB" w14:textId="67982EDB" w:rsidR="002A5F16" w:rsidRPr="00A85D60" w:rsidRDefault="002A5F16" w:rsidP="00954A04">
      <w:pPr>
        <w:autoSpaceDE w:val="0"/>
        <w:autoSpaceDN w:val="0"/>
        <w:adjustRightInd w:val="0"/>
        <w:jc w:val="both"/>
        <w:rPr>
          <w:sz w:val="20"/>
        </w:rPr>
      </w:pPr>
      <w:r w:rsidRPr="00A85D60">
        <w:rPr>
          <w:sz w:val="20"/>
        </w:rPr>
        <w:t xml:space="preserve"> </w:t>
      </w:r>
    </w:p>
    <w:p w14:paraId="25A8FC8C" w14:textId="7D26688E" w:rsidR="0039485B" w:rsidRDefault="0039485B" w:rsidP="00954A04">
      <w:pPr>
        <w:jc w:val="both"/>
        <w:rPr>
          <w:b/>
          <w:color w:val="3C3C3C"/>
          <w:sz w:val="20"/>
        </w:rPr>
      </w:pPr>
      <w:r w:rsidRPr="006B1AF8">
        <w:rPr>
          <w:b/>
          <w:color w:val="3C3C3C"/>
          <w:sz w:val="20"/>
        </w:rPr>
        <w:t xml:space="preserve">Software </w:t>
      </w:r>
    </w:p>
    <w:p w14:paraId="45861748" w14:textId="77777777" w:rsidR="00893E06" w:rsidRPr="006B1AF8" w:rsidRDefault="00893E06" w:rsidP="00954A04">
      <w:pPr>
        <w:jc w:val="both"/>
        <w:rPr>
          <w:b/>
          <w:color w:val="3C3C3C"/>
          <w:sz w:val="20"/>
        </w:rPr>
      </w:pPr>
    </w:p>
    <w:p w14:paraId="7D2C9DDE" w14:textId="43F6117C" w:rsidR="008457A9" w:rsidRDefault="008457A9" w:rsidP="008457A9">
      <w:pPr>
        <w:autoSpaceDE w:val="0"/>
        <w:autoSpaceDN w:val="0"/>
        <w:adjustRightInd w:val="0"/>
        <w:jc w:val="both"/>
        <w:rPr>
          <w:color w:val="3C3C3C"/>
          <w:sz w:val="20"/>
        </w:rPr>
      </w:pPr>
      <w:r w:rsidRPr="008457A9">
        <w:rPr>
          <w:color w:val="3C3C3C"/>
          <w:sz w:val="20"/>
        </w:rPr>
        <w:t>El software de gestión (ERP, CRM…) es el más utilizado por las empresas y soporta la base del crecimiento de este segmento.</w:t>
      </w:r>
      <w:r w:rsidR="00893E06">
        <w:rPr>
          <w:color w:val="3C3C3C"/>
          <w:sz w:val="20"/>
        </w:rPr>
        <w:t xml:space="preserve"> </w:t>
      </w:r>
      <w:r w:rsidRPr="008457A9">
        <w:rPr>
          <w:color w:val="3C3C3C"/>
          <w:sz w:val="20"/>
        </w:rPr>
        <w:t>La renovación del parque tecnológico lleva aparejada la consolidación de las cifras de sistemas operativos.</w:t>
      </w:r>
      <w:r w:rsidR="00893E06">
        <w:rPr>
          <w:color w:val="3C3C3C"/>
          <w:sz w:val="20"/>
        </w:rPr>
        <w:t xml:space="preserve"> </w:t>
      </w:r>
      <w:r w:rsidRPr="008457A9">
        <w:rPr>
          <w:color w:val="3C3C3C"/>
          <w:sz w:val="20"/>
        </w:rPr>
        <w:t xml:space="preserve">Por el contrario, se </w:t>
      </w:r>
      <w:r w:rsidR="00893E06">
        <w:rPr>
          <w:color w:val="3C3C3C"/>
          <w:sz w:val="20"/>
        </w:rPr>
        <w:t>observa</w:t>
      </w:r>
      <w:r w:rsidRPr="008457A9">
        <w:rPr>
          <w:color w:val="3C3C3C"/>
          <w:sz w:val="20"/>
        </w:rPr>
        <w:t xml:space="preserve"> una ralentización en la línea de herramientas de desarrollo</w:t>
      </w:r>
      <w:r w:rsidR="00893E06">
        <w:rPr>
          <w:color w:val="3C3C3C"/>
          <w:sz w:val="20"/>
        </w:rPr>
        <w:t xml:space="preserve">. </w:t>
      </w:r>
    </w:p>
    <w:p w14:paraId="11036FB1" w14:textId="4BE0885B" w:rsidR="00893E06" w:rsidRDefault="00893E06" w:rsidP="008457A9">
      <w:pPr>
        <w:autoSpaceDE w:val="0"/>
        <w:autoSpaceDN w:val="0"/>
        <w:adjustRightInd w:val="0"/>
        <w:jc w:val="both"/>
        <w:rPr>
          <w:color w:val="3C3C3C"/>
          <w:sz w:val="20"/>
        </w:rPr>
      </w:pPr>
    </w:p>
    <w:p w14:paraId="54F9719B" w14:textId="078C9693" w:rsidR="0039485B" w:rsidRDefault="001A2583" w:rsidP="008457A9">
      <w:pPr>
        <w:autoSpaceDE w:val="0"/>
        <w:autoSpaceDN w:val="0"/>
        <w:adjustRightInd w:val="0"/>
        <w:jc w:val="both"/>
        <w:rPr>
          <w:color w:val="3C3C3C"/>
          <w:sz w:val="20"/>
        </w:rPr>
      </w:pPr>
      <w:r>
        <w:rPr>
          <w:color w:val="3C3C3C"/>
          <w:sz w:val="20"/>
        </w:rPr>
        <w:t>Por otro lado, s</w:t>
      </w:r>
      <w:r w:rsidR="00893E06">
        <w:rPr>
          <w:color w:val="3C3C3C"/>
          <w:sz w:val="20"/>
        </w:rPr>
        <w:t xml:space="preserve">e aprecia </w:t>
      </w:r>
      <w:r w:rsidR="005E20CB">
        <w:rPr>
          <w:color w:val="3C3C3C"/>
          <w:sz w:val="20"/>
        </w:rPr>
        <w:t>asimismo</w:t>
      </w:r>
      <w:r w:rsidR="00893E06">
        <w:rPr>
          <w:color w:val="3C3C3C"/>
          <w:sz w:val="20"/>
        </w:rPr>
        <w:t xml:space="preserve"> un incremento</w:t>
      </w:r>
      <w:r w:rsidR="008457A9" w:rsidRPr="008457A9">
        <w:rPr>
          <w:color w:val="3C3C3C"/>
          <w:sz w:val="20"/>
        </w:rPr>
        <w:t xml:space="preserve"> muy </w:t>
      </w:r>
      <w:r w:rsidR="00893E06">
        <w:rPr>
          <w:color w:val="3C3C3C"/>
          <w:sz w:val="20"/>
        </w:rPr>
        <w:t>relevante</w:t>
      </w:r>
      <w:r w:rsidR="008457A9" w:rsidRPr="008457A9">
        <w:rPr>
          <w:color w:val="3C3C3C"/>
          <w:sz w:val="20"/>
        </w:rPr>
        <w:t xml:space="preserve"> del</w:t>
      </w:r>
      <w:r w:rsidR="008457A9" w:rsidRPr="008457A9">
        <w:rPr>
          <w:i/>
          <w:color w:val="3C3C3C"/>
          <w:sz w:val="20"/>
        </w:rPr>
        <w:t xml:space="preserve"> </w:t>
      </w:r>
      <w:proofErr w:type="spellStart"/>
      <w:r w:rsidR="008457A9" w:rsidRPr="008457A9">
        <w:rPr>
          <w:i/>
          <w:color w:val="3C3C3C"/>
          <w:sz w:val="20"/>
        </w:rPr>
        <w:t>cloud</w:t>
      </w:r>
      <w:proofErr w:type="spellEnd"/>
      <w:r w:rsidR="008457A9" w:rsidRPr="008457A9">
        <w:rPr>
          <w:color w:val="3C3C3C"/>
          <w:sz w:val="20"/>
        </w:rPr>
        <w:t xml:space="preserve">. Las nuevas soluciones </w:t>
      </w:r>
      <w:proofErr w:type="spellStart"/>
      <w:r w:rsidR="008457A9" w:rsidRPr="008457A9">
        <w:rPr>
          <w:i/>
          <w:color w:val="3C3C3C"/>
          <w:sz w:val="20"/>
        </w:rPr>
        <w:t>cloud</w:t>
      </w:r>
      <w:proofErr w:type="spellEnd"/>
      <w:r w:rsidR="008457A9" w:rsidRPr="008457A9">
        <w:rPr>
          <w:color w:val="3C3C3C"/>
          <w:sz w:val="20"/>
        </w:rPr>
        <w:t xml:space="preserve"> han </w:t>
      </w:r>
      <w:r w:rsidR="00893E06">
        <w:rPr>
          <w:color w:val="3C3C3C"/>
          <w:sz w:val="20"/>
        </w:rPr>
        <w:t xml:space="preserve">impulsado </w:t>
      </w:r>
      <w:r w:rsidR="008457A9" w:rsidRPr="008457A9">
        <w:rPr>
          <w:color w:val="3C3C3C"/>
          <w:sz w:val="20"/>
        </w:rPr>
        <w:t>el crecimiento de los servicios (</w:t>
      </w:r>
      <w:proofErr w:type="spellStart"/>
      <w:r w:rsidR="008457A9" w:rsidRPr="008457A9">
        <w:rPr>
          <w:color w:val="3C3C3C"/>
          <w:sz w:val="20"/>
        </w:rPr>
        <w:t>XaaS</w:t>
      </w:r>
      <w:proofErr w:type="spellEnd"/>
      <w:r w:rsidR="008457A9" w:rsidRPr="008457A9">
        <w:rPr>
          <w:color w:val="3C3C3C"/>
          <w:sz w:val="20"/>
        </w:rPr>
        <w:t>) en detrimento de otros productos software o hardware tradicionales</w:t>
      </w:r>
      <w:r w:rsidR="00893E06">
        <w:rPr>
          <w:color w:val="3C3C3C"/>
          <w:sz w:val="20"/>
        </w:rPr>
        <w:t xml:space="preserve">. La progresión </w:t>
      </w:r>
      <w:r w:rsidR="008457A9" w:rsidRPr="008457A9">
        <w:rPr>
          <w:color w:val="3C3C3C"/>
          <w:sz w:val="20"/>
        </w:rPr>
        <w:t>del mercado se debe en su mayoría a la renovación de productos por parte del sector privado.</w:t>
      </w:r>
      <w:r w:rsidR="00893E06">
        <w:rPr>
          <w:color w:val="3C3C3C"/>
          <w:sz w:val="20"/>
        </w:rPr>
        <w:t xml:space="preserve"> </w:t>
      </w:r>
      <w:r w:rsidR="008457A9" w:rsidRPr="008457A9">
        <w:rPr>
          <w:color w:val="3C3C3C"/>
          <w:sz w:val="20"/>
        </w:rPr>
        <w:t xml:space="preserve">El avance de la Administración electrónica </w:t>
      </w:r>
      <w:r w:rsidR="005E20CB">
        <w:rPr>
          <w:color w:val="3C3C3C"/>
          <w:sz w:val="20"/>
        </w:rPr>
        <w:t>igualmente</w:t>
      </w:r>
      <w:r w:rsidR="008457A9" w:rsidRPr="008457A9">
        <w:rPr>
          <w:color w:val="3C3C3C"/>
          <w:sz w:val="20"/>
        </w:rPr>
        <w:t xml:space="preserve"> ha incidido positivamente, repercutiendo en una mayor demanda de productos software y servicios TI por parte del sector público.</w:t>
      </w:r>
    </w:p>
    <w:p w14:paraId="72605181" w14:textId="77777777" w:rsidR="0039485B" w:rsidRDefault="0039485B" w:rsidP="00954A04">
      <w:pPr>
        <w:jc w:val="both"/>
        <w:rPr>
          <w:b/>
          <w:color w:val="3C3C3C"/>
          <w:sz w:val="20"/>
        </w:rPr>
      </w:pPr>
    </w:p>
    <w:p w14:paraId="7CB97291" w14:textId="4437FD32" w:rsidR="006B1AF8" w:rsidRDefault="006B1AF8" w:rsidP="00954A04">
      <w:pPr>
        <w:jc w:val="both"/>
        <w:rPr>
          <w:b/>
          <w:color w:val="3C3C3C"/>
          <w:sz w:val="20"/>
        </w:rPr>
      </w:pPr>
      <w:r w:rsidRPr="006B1AF8">
        <w:rPr>
          <w:b/>
          <w:color w:val="3C3C3C"/>
          <w:sz w:val="20"/>
        </w:rPr>
        <w:t xml:space="preserve">Hardware </w:t>
      </w:r>
    </w:p>
    <w:p w14:paraId="32F9516A" w14:textId="77777777" w:rsidR="00893E06" w:rsidRPr="006B1AF8" w:rsidRDefault="00893E06" w:rsidP="00954A04">
      <w:pPr>
        <w:jc w:val="both"/>
        <w:rPr>
          <w:b/>
          <w:color w:val="3C3C3C"/>
          <w:sz w:val="20"/>
        </w:rPr>
      </w:pPr>
    </w:p>
    <w:p w14:paraId="1AA6DDB2" w14:textId="2D92B95F" w:rsidR="009625DC" w:rsidRDefault="008457A9" w:rsidP="008457A9">
      <w:pPr>
        <w:autoSpaceDE w:val="0"/>
        <w:autoSpaceDN w:val="0"/>
        <w:adjustRightInd w:val="0"/>
        <w:jc w:val="both"/>
        <w:rPr>
          <w:color w:val="3C3C3C"/>
          <w:sz w:val="20"/>
        </w:rPr>
      </w:pPr>
      <w:r w:rsidRPr="008457A9">
        <w:rPr>
          <w:color w:val="3C3C3C"/>
          <w:sz w:val="20"/>
        </w:rPr>
        <w:t xml:space="preserve">El segmento de ordenadores se ha visto afectado </w:t>
      </w:r>
      <w:r w:rsidR="008A445E">
        <w:rPr>
          <w:color w:val="3C3C3C"/>
          <w:sz w:val="20"/>
        </w:rPr>
        <w:t>negativamente</w:t>
      </w:r>
      <w:r w:rsidRPr="008457A9">
        <w:rPr>
          <w:color w:val="3C3C3C"/>
          <w:sz w:val="20"/>
        </w:rPr>
        <w:t xml:space="preserve"> </w:t>
      </w:r>
      <w:r w:rsidR="008A445E">
        <w:rPr>
          <w:color w:val="3C3C3C"/>
          <w:sz w:val="20"/>
        </w:rPr>
        <w:t>por</w:t>
      </w:r>
      <w:r w:rsidRPr="008457A9">
        <w:rPr>
          <w:color w:val="3C3C3C"/>
          <w:sz w:val="20"/>
        </w:rPr>
        <w:t xml:space="preserve"> problemas de abastecimiento de </w:t>
      </w:r>
      <w:r w:rsidRPr="008A445E">
        <w:rPr>
          <w:i/>
          <w:color w:val="3C3C3C"/>
          <w:sz w:val="20"/>
        </w:rPr>
        <w:t>chips</w:t>
      </w:r>
      <w:r w:rsidR="008A445E">
        <w:rPr>
          <w:color w:val="3C3C3C"/>
          <w:sz w:val="20"/>
        </w:rPr>
        <w:t>,</w:t>
      </w:r>
      <w:r w:rsidRPr="008457A9">
        <w:rPr>
          <w:color w:val="3C3C3C"/>
          <w:sz w:val="20"/>
        </w:rPr>
        <w:t xml:space="preserve"> y las políticas de comercio a nivel mundial</w:t>
      </w:r>
      <w:r w:rsidR="008A445E">
        <w:rPr>
          <w:color w:val="3C3C3C"/>
          <w:sz w:val="20"/>
        </w:rPr>
        <w:t xml:space="preserve">. </w:t>
      </w:r>
      <w:r w:rsidRPr="008457A9">
        <w:rPr>
          <w:color w:val="3C3C3C"/>
          <w:sz w:val="20"/>
        </w:rPr>
        <w:t xml:space="preserve">El ligero </w:t>
      </w:r>
      <w:r w:rsidR="008A445E">
        <w:rPr>
          <w:color w:val="3C3C3C"/>
          <w:sz w:val="20"/>
        </w:rPr>
        <w:t>incremento</w:t>
      </w:r>
      <w:r w:rsidRPr="008457A9">
        <w:rPr>
          <w:color w:val="3C3C3C"/>
          <w:sz w:val="20"/>
        </w:rPr>
        <w:t xml:space="preserve"> se basa en la renovación de equipos obsoletos del parque tecnológico</w:t>
      </w:r>
      <w:r w:rsidR="008A445E">
        <w:rPr>
          <w:color w:val="3C3C3C"/>
          <w:sz w:val="20"/>
        </w:rPr>
        <w:t>. L</w:t>
      </w:r>
      <w:r w:rsidRPr="008457A9">
        <w:rPr>
          <w:color w:val="3C3C3C"/>
          <w:sz w:val="20"/>
        </w:rPr>
        <w:t>a realización de nuevos proyectos institucionales y la demanda por parte del sector privado en general</w:t>
      </w:r>
      <w:r w:rsidR="00F069AC">
        <w:rPr>
          <w:color w:val="3C3C3C"/>
          <w:sz w:val="20"/>
        </w:rPr>
        <w:t xml:space="preserve"> </w:t>
      </w:r>
      <w:r w:rsidR="001A2583">
        <w:rPr>
          <w:color w:val="3C3C3C"/>
          <w:sz w:val="20"/>
        </w:rPr>
        <w:t>h</w:t>
      </w:r>
      <w:r w:rsidR="00F069AC" w:rsidRPr="008457A9">
        <w:rPr>
          <w:color w:val="3C3C3C"/>
          <w:sz w:val="20"/>
        </w:rPr>
        <w:t>a</w:t>
      </w:r>
      <w:r w:rsidR="001A2583">
        <w:rPr>
          <w:color w:val="3C3C3C"/>
          <w:sz w:val="20"/>
        </w:rPr>
        <w:t>n</w:t>
      </w:r>
      <w:r w:rsidR="00F069AC" w:rsidRPr="008457A9">
        <w:rPr>
          <w:color w:val="3C3C3C"/>
          <w:sz w:val="20"/>
        </w:rPr>
        <w:t xml:space="preserve"> incidido positivamente en el crecimiento del hardware</w:t>
      </w:r>
      <w:r w:rsidR="00F069AC">
        <w:rPr>
          <w:color w:val="3C3C3C"/>
          <w:sz w:val="20"/>
        </w:rPr>
        <w:t xml:space="preserve">. </w:t>
      </w:r>
      <w:r w:rsidR="001A2583">
        <w:rPr>
          <w:color w:val="3C3C3C"/>
          <w:sz w:val="20"/>
        </w:rPr>
        <w:t xml:space="preserve">No obstante, </w:t>
      </w:r>
      <w:r w:rsidRPr="008457A9">
        <w:rPr>
          <w:color w:val="3C3C3C"/>
          <w:sz w:val="20"/>
        </w:rPr>
        <w:t>desde el sector público, la tónica generalizada de congelación de presupuestos ha dificultado inversiones tecnológicas nuevas por parte de la Administración.</w:t>
      </w:r>
    </w:p>
    <w:p w14:paraId="5CA8756C" w14:textId="45ADA62C" w:rsidR="00E1091D" w:rsidRDefault="00E1091D" w:rsidP="00834D1E">
      <w:pPr>
        <w:autoSpaceDE w:val="0"/>
        <w:autoSpaceDN w:val="0"/>
        <w:adjustRightInd w:val="0"/>
        <w:jc w:val="both"/>
        <w:rPr>
          <w:color w:val="3C3C3C"/>
          <w:sz w:val="20"/>
        </w:rPr>
      </w:pPr>
    </w:p>
    <w:tbl>
      <w:tblPr>
        <w:tblW w:w="5467" w:type="dxa"/>
        <w:jc w:val="center"/>
        <w:tblCellMar>
          <w:left w:w="0" w:type="dxa"/>
          <w:right w:w="0" w:type="dxa"/>
        </w:tblCellMar>
        <w:tblLook w:val="0420" w:firstRow="1" w:lastRow="0" w:firstColumn="0" w:lastColumn="0" w:noHBand="0" w:noVBand="1"/>
      </w:tblPr>
      <w:tblGrid>
        <w:gridCol w:w="1605"/>
        <w:gridCol w:w="1138"/>
        <w:gridCol w:w="1140"/>
        <w:gridCol w:w="41"/>
        <w:gridCol w:w="1543"/>
      </w:tblGrid>
      <w:tr w:rsidR="00E1091D" w:rsidRPr="00E1091D" w14:paraId="77309DEA" w14:textId="77777777" w:rsidTr="006E0D2D">
        <w:trPr>
          <w:trHeight w:val="453"/>
          <w:jc w:val="center"/>
        </w:trPr>
        <w:tc>
          <w:tcPr>
            <w:tcW w:w="1605" w:type="dxa"/>
            <w:vMerge w:val="restart"/>
            <w:tcBorders>
              <w:top w:val="single" w:sz="8" w:space="0" w:color="FFFFFF"/>
              <w:left w:val="single" w:sz="8" w:space="0" w:color="FFFFFF"/>
              <w:bottom w:val="single" w:sz="24" w:space="0" w:color="FFFFFF"/>
              <w:right w:val="single" w:sz="8" w:space="0" w:color="FFFFFF"/>
            </w:tcBorders>
            <w:shd w:val="clear" w:color="auto" w:fill="1A3260"/>
            <w:tcMar>
              <w:top w:w="15" w:type="dxa"/>
              <w:left w:w="15" w:type="dxa"/>
              <w:bottom w:w="0" w:type="dxa"/>
              <w:right w:w="15" w:type="dxa"/>
            </w:tcMar>
            <w:vAlign w:val="center"/>
            <w:hideMark/>
          </w:tcPr>
          <w:p w14:paraId="0E2FDA82" w14:textId="77777777" w:rsidR="00E1091D" w:rsidRPr="00E1091D" w:rsidRDefault="00E1091D" w:rsidP="00E1091D">
            <w:pPr>
              <w:rPr>
                <w:rFonts w:ascii="Times New Roman" w:hAnsi="Times New Roman" w:cs="Times New Roman"/>
                <w:szCs w:val="20"/>
              </w:rPr>
            </w:pPr>
          </w:p>
        </w:tc>
        <w:tc>
          <w:tcPr>
            <w:tcW w:w="2278" w:type="dxa"/>
            <w:gridSpan w:val="2"/>
            <w:tcBorders>
              <w:top w:val="single" w:sz="8" w:space="0" w:color="FFFFFF"/>
              <w:left w:val="single" w:sz="8" w:space="0" w:color="FFFFFF"/>
              <w:bottom w:val="single" w:sz="24" w:space="0" w:color="FFFFFF"/>
              <w:right w:val="single" w:sz="8" w:space="0" w:color="FFFFFF"/>
            </w:tcBorders>
            <w:shd w:val="clear" w:color="auto" w:fill="1A3260"/>
            <w:tcMar>
              <w:top w:w="15" w:type="dxa"/>
              <w:left w:w="15" w:type="dxa"/>
              <w:bottom w:w="0" w:type="dxa"/>
              <w:right w:w="15" w:type="dxa"/>
            </w:tcMar>
            <w:vAlign w:val="center"/>
            <w:hideMark/>
          </w:tcPr>
          <w:p w14:paraId="5CDE662C" w14:textId="77777777" w:rsidR="00E1091D" w:rsidRPr="00E1091D" w:rsidRDefault="00E1091D" w:rsidP="00E1091D">
            <w:pPr>
              <w:textAlignment w:val="bottom"/>
              <w:rPr>
                <w:szCs w:val="36"/>
              </w:rPr>
            </w:pPr>
            <w:r w:rsidRPr="00E1091D">
              <w:rPr>
                <w:rFonts w:eastAsia="Helvetica Neue Medium"/>
                <w:color w:val="FFFFFF"/>
                <w:szCs w:val="48"/>
              </w:rPr>
              <w:t>Millones de euros</w:t>
            </w:r>
          </w:p>
        </w:tc>
        <w:tc>
          <w:tcPr>
            <w:tcW w:w="41" w:type="dxa"/>
            <w:tcBorders>
              <w:top w:val="single" w:sz="8" w:space="0" w:color="FFFFFF"/>
              <w:left w:val="single" w:sz="8" w:space="0" w:color="FFFFFF"/>
              <w:bottom w:val="single" w:sz="24" w:space="0" w:color="FFFFFF"/>
              <w:right w:val="single" w:sz="8" w:space="0" w:color="FFFFFF"/>
            </w:tcBorders>
            <w:shd w:val="clear" w:color="auto" w:fill="1A3260"/>
            <w:tcMar>
              <w:top w:w="15" w:type="dxa"/>
              <w:left w:w="15" w:type="dxa"/>
              <w:bottom w:w="0" w:type="dxa"/>
              <w:right w:w="15" w:type="dxa"/>
            </w:tcMar>
            <w:vAlign w:val="center"/>
            <w:hideMark/>
          </w:tcPr>
          <w:p w14:paraId="5B02819F" w14:textId="77777777" w:rsidR="00E1091D" w:rsidRPr="00E1091D" w:rsidRDefault="00E1091D" w:rsidP="00E1091D">
            <w:pPr>
              <w:rPr>
                <w:szCs w:val="36"/>
              </w:rPr>
            </w:pPr>
          </w:p>
        </w:tc>
        <w:tc>
          <w:tcPr>
            <w:tcW w:w="1543" w:type="dxa"/>
            <w:tcBorders>
              <w:top w:val="single" w:sz="8" w:space="0" w:color="FFFFFF"/>
              <w:left w:val="single" w:sz="8" w:space="0" w:color="FFFFFF"/>
              <w:bottom w:val="single" w:sz="24" w:space="0" w:color="FFFFFF"/>
              <w:right w:val="single" w:sz="8" w:space="0" w:color="FFFFFF"/>
            </w:tcBorders>
            <w:shd w:val="clear" w:color="auto" w:fill="1A3260"/>
            <w:tcMar>
              <w:top w:w="15" w:type="dxa"/>
              <w:left w:w="15" w:type="dxa"/>
              <w:bottom w:w="0" w:type="dxa"/>
              <w:right w:w="15" w:type="dxa"/>
            </w:tcMar>
            <w:vAlign w:val="center"/>
            <w:hideMark/>
          </w:tcPr>
          <w:p w14:paraId="0A339039" w14:textId="77777777" w:rsidR="00E1091D" w:rsidRPr="00E1091D" w:rsidRDefault="00E1091D" w:rsidP="00E1091D">
            <w:pPr>
              <w:textAlignment w:val="bottom"/>
              <w:rPr>
                <w:szCs w:val="36"/>
              </w:rPr>
            </w:pPr>
            <w:r w:rsidRPr="00E1091D">
              <w:rPr>
                <w:rFonts w:eastAsia="Helvetica Neue Medium"/>
                <w:color w:val="FFFFFF"/>
                <w:szCs w:val="48"/>
              </w:rPr>
              <w:t>Variación</w:t>
            </w:r>
          </w:p>
        </w:tc>
      </w:tr>
      <w:tr w:rsidR="00E1091D" w:rsidRPr="00E1091D" w14:paraId="0C87BB46" w14:textId="77777777" w:rsidTr="006E0D2D">
        <w:trPr>
          <w:trHeight w:val="350"/>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1F271797" w14:textId="77777777" w:rsidR="00E1091D" w:rsidRPr="00E1091D" w:rsidRDefault="00E1091D" w:rsidP="00E1091D">
            <w:pPr>
              <w:rPr>
                <w:rFonts w:ascii="Times New Roman" w:hAnsi="Times New Roman" w:cs="Times New Roman"/>
                <w:szCs w:val="20"/>
              </w:rPr>
            </w:pPr>
          </w:p>
        </w:tc>
        <w:tc>
          <w:tcPr>
            <w:tcW w:w="1138" w:type="dxa"/>
            <w:tcBorders>
              <w:top w:val="single" w:sz="24" w:space="0" w:color="FFFFFF"/>
              <w:left w:val="single" w:sz="24" w:space="0" w:color="FFFFFF"/>
              <w:bottom w:val="single" w:sz="8" w:space="0" w:color="FFFFFF"/>
              <w:right w:val="single" w:sz="8" w:space="0" w:color="FFFFFF"/>
            </w:tcBorders>
            <w:shd w:val="clear" w:color="auto" w:fill="1A3260"/>
            <w:tcMar>
              <w:top w:w="15" w:type="dxa"/>
              <w:left w:w="15" w:type="dxa"/>
              <w:bottom w:w="0" w:type="dxa"/>
              <w:right w:w="15" w:type="dxa"/>
            </w:tcMar>
            <w:vAlign w:val="center"/>
            <w:hideMark/>
          </w:tcPr>
          <w:p w14:paraId="39C0BFD1" w14:textId="77777777" w:rsidR="00E1091D" w:rsidRPr="00E1091D" w:rsidRDefault="00E1091D" w:rsidP="00E1091D">
            <w:pPr>
              <w:textAlignment w:val="bottom"/>
              <w:rPr>
                <w:szCs w:val="36"/>
              </w:rPr>
            </w:pPr>
            <w:r w:rsidRPr="00E1091D">
              <w:rPr>
                <w:rFonts w:eastAsia="Helvetica Neue Medium"/>
                <w:color w:val="FFFFFF"/>
                <w:szCs w:val="48"/>
              </w:rPr>
              <w:t>2017</w:t>
            </w:r>
          </w:p>
        </w:tc>
        <w:tc>
          <w:tcPr>
            <w:tcW w:w="1139" w:type="dxa"/>
            <w:tcBorders>
              <w:top w:val="single" w:sz="24" w:space="0" w:color="FFFFFF"/>
              <w:left w:val="single" w:sz="8" w:space="0" w:color="FFFFFF"/>
              <w:bottom w:val="single" w:sz="8" w:space="0" w:color="FFFFFF"/>
              <w:right w:val="single" w:sz="8" w:space="0" w:color="FFFFFF"/>
            </w:tcBorders>
            <w:shd w:val="clear" w:color="auto" w:fill="1A3260"/>
            <w:tcMar>
              <w:top w:w="15" w:type="dxa"/>
              <w:left w:w="15" w:type="dxa"/>
              <w:bottom w:w="0" w:type="dxa"/>
              <w:right w:w="15" w:type="dxa"/>
            </w:tcMar>
            <w:vAlign w:val="center"/>
            <w:hideMark/>
          </w:tcPr>
          <w:p w14:paraId="328B851A" w14:textId="77777777" w:rsidR="00E1091D" w:rsidRPr="00E1091D" w:rsidRDefault="00E1091D" w:rsidP="00E1091D">
            <w:pPr>
              <w:textAlignment w:val="bottom"/>
              <w:rPr>
                <w:szCs w:val="36"/>
              </w:rPr>
            </w:pPr>
            <w:r w:rsidRPr="00E1091D">
              <w:rPr>
                <w:rFonts w:eastAsia="Helvetica Neue Medium"/>
                <w:color w:val="FFFFFF"/>
                <w:szCs w:val="48"/>
              </w:rPr>
              <w:t>2018</w:t>
            </w:r>
          </w:p>
        </w:tc>
        <w:tc>
          <w:tcPr>
            <w:tcW w:w="41" w:type="dxa"/>
            <w:tcBorders>
              <w:top w:val="single" w:sz="24" w:space="0" w:color="FFFFFF"/>
              <w:left w:val="single" w:sz="8" w:space="0" w:color="FFFFFF"/>
              <w:bottom w:val="single" w:sz="8" w:space="0" w:color="FFFFFF"/>
              <w:right w:val="single" w:sz="8" w:space="0" w:color="FFFFFF"/>
            </w:tcBorders>
            <w:shd w:val="clear" w:color="auto" w:fill="CCCDD2"/>
            <w:tcMar>
              <w:top w:w="15" w:type="dxa"/>
              <w:left w:w="15" w:type="dxa"/>
              <w:bottom w:w="0" w:type="dxa"/>
              <w:right w:w="15" w:type="dxa"/>
            </w:tcMar>
            <w:vAlign w:val="center"/>
            <w:hideMark/>
          </w:tcPr>
          <w:p w14:paraId="2D7DF78F" w14:textId="77777777" w:rsidR="00E1091D" w:rsidRPr="00E1091D" w:rsidRDefault="00E1091D" w:rsidP="00E1091D">
            <w:pPr>
              <w:rPr>
                <w:szCs w:val="36"/>
              </w:rPr>
            </w:pPr>
          </w:p>
        </w:tc>
        <w:tc>
          <w:tcPr>
            <w:tcW w:w="1543" w:type="dxa"/>
            <w:tcBorders>
              <w:top w:val="single" w:sz="24" w:space="0" w:color="FFFFFF"/>
              <w:left w:val="single" w:sz="8" w:space="0" w:color="FFFFFF"/>
              <w:bottom w:val="single" w:sz="8" w:space="0" w:color="FFFFFF"/>
              <w:right w:val="single" w:sz="8" w:space="0" w:color="FFFFFF"/>
            </w:tcBorders>
            <w:shd w:val="clear" w:color="auto" w:fill="1A3260"/>
            <w:tcMar>
              <w:top w:w="15" w:type="dxa"/>
              <w:left w:w="15" w:type="dxa"/>
              <w:bottom w:w="0" w:type="dxa"/>
              <w:right w:w="15" w:type="dxa"/>
            </w:tcMar>
            <w:vAlign w:val="center"/>
            <w:hideMark/>
          </w:tcPr>
          <w:p w14:paraId="548EFCDE" w14:textId="77777777" w:rsidR="00E1091D" w:rsidRPr="00E1091D" w:rsidRDefault="00E1091D" w:rsidP="00E1091D">
            <w:pPr>
              <w:textAlignment w:val="bottom"/>
              <w:rPr>
                <w:szCs w:val="36"/>
              </w:rPr>
            </w:pPr>
            <w:r w:rsidRPr="00E1091D">
              <w:rPr>
                <w:rFonts w:eastAsia="Helvetica Neue Medium"/>
                <w:color w:val="FFFFFF"/>
                <w:szCs w:val="48"/>
              </w:rPr>
              <w:t>18/17</w:t>
            </w:r>
          </w:p>
        </w:tc>
      </w:tr>
      <w:tr w:rsidR="00E1091D" w:rsidRPr="00E1091D" w14:paraId="00B1610E" w14:textId="77777777" w:rsidTr="006E0D2D">
        <w:trPr>
          <w:trHeight w:val="368"/>
          <w:jc w:val="center"/>
        </w:trPr>
        <w:tc>
          <w:tcPr>
            <w:tcW w:w="1605" w:type="dxa"/>
            <w:tcBorders>
              <w:top w:val="single" w:sz="24"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center"/>
            <w:hideMark/>
          </w:tcPr>
          <w:p w14:paraId="4E28321D" w14:textId="513530F8" w:rsidR="00E1091D" w:rsidRPr="00E1091D" w:rsidRDefault="00E1091D" w:rsidP="00E1091D">
            <w:pPr>
              <w:textAlignment w:val="bottom"/>
              <w:rPr>
                <w:szCs w:val="36"/>
              </w:rPr>
            </w:pPr>
            <w:r w:rsidRPr="00E1091D">
              <w:rPr>
                <w:rFonts w:eastAsia="Helvetica Neue Medium"/>
                <w:color w:val="000000"/>
                <w:szCs w:val="48"/>
              </w:rPr>
              <w:t>Hardware</w:t>
            </w:r>
          </w:p>
        </w:tc>
        <w:tc>
          <w:tcPr>
            <w:tcW w:w="1138"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center"/>
            <w:hideMark/>
          </w:tcPr>
          <w:p w14:paraId="77175986" w14:textId="77777777" w:rsidR="00E1091D" w:rsidRPr="00E1091D" w:rsidRDefault="00E1091D" w:rsidP="00E1091D">
            <w:pPr>
              <w:textAlignment w:val="bottom"/>
              <w:rPr>
                <w:szCs w:val="36"/>
              </w:rPr>
            </w:pPr>
            <w:r w:rsidRPr="00E1091D">
              <w:rPr>
                <w:rFonts w:eastAsia="Helvetica Neue Medium"/>
                <w:color w:val="000000"/>
                <w:szCs w:val="48"/>
              </w:rPr>
              <w:t>4.575</w:t>
            </w:r>
          </w:p>
        </w:tc>
        <w:tc>
          <w:tcPr>
            <w:tcW w:w="1139" w:type="dxa"/>
            <w:tcBorders>
              <w:top w:val="single" w:sz="8" w:space="0" w:color="FFFFFF"/>
              <w:left w:val="single" w:sz="8" w:space="0" w:color="FFFFFF"/>
              <w:bottom w:val="single" w:sz="8" w:space="0" w:color="FFFFFF"/>
              <w:right w:val="single" w:sz="8" w:space="0" w:color="FFFFFF"/>
            </w:tcBorders>
            <w:shd w:val="clear" w:color="auto" w:fill="4590B8"/>
            <w:tcMar>
              <w:top w:w="15" w:type="dxa"/>
              <w:left w:w="15" w:type="dxa"/>
              <w:bottom w:w="0" w:type="dxa"/>
              <w:right w:w="15" w:type="dxa"/>
            </w:tcMar>
            <w:vAlign w:val="center"/>
            <w:hideMark/>
          </w:tcPr>
          <w:p w14:paraId="55D26576" w14:textId="77777777" w:rsidR="00E1091D" w:rsidRPr="00E1091D" w:rsidRDefault="00E1091D" w:rsidP="00E1091D">
            <w:pPr>
              <w:textAlignment w:val="bottom"/>
              <w:rPr>
                <w:szCs w:val="36"/>
              </w:rPr>
            </w:pPr>
            <w:r w:rsidRPr="00E1091D">
              <w:rPr>
                <w:rFonts w:eastAsia="Helvetica Neue Medium"/>
                <w:color w:val="FFFFFF"/>
                <w:szCs w:val="48"/>
              </w:rPr>
              <w:t>4.653</w:t>
            </w:r>
          </w:p>
        </w:tc>
        <w:tc>
          <w:tcPr>
            <w:tcW w:w="41"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center"/>
            <w:hideMark/>
          </w:tcPr>
          <w:p w14:paraId="038B3C68" w14:textId="77777777" w:rsidR="00E1091D" w:rsidRPr="00E1091D" w:rsidRDefault="00E1091D" w:rsidP="00E1091D">
            <w:pPr>
              <w:rPr>
                <w:szCs w:val="36"/>
              </w:rPr>
            </w:pPr>
          </w:p>
        </w:tc>
        <w:tc>
          <w:tcPr>
            <w:tcW w:w="1543" w:type="dxa"/>
            <w:tcBorders>
              <w:top w:val="single" w:sz="8" w:space="0" w:color="FFFFFF"/>
              <w:left w:val="single" w:sz="8" w:space="0" w:color="FFFFFF"/>
              <w:bottom w:val="single" w:sz="8" w:space="0" w:color="FFFFFF"/>
              <w:right w:val="single" w:sz="8" w:space="0" w:color="FFFFFF"/>
            </w:tcBorders>
            <w:shd w:val="clear" w:color="auto" w:fill="4590B8"/>
            <w:tcMar>
              <w:top w:w="15" w:type="dxa"/>
              <w:left w:w="15" w:type="dxa"/>
              <w:bottom w:w="0" w:type="dxa"/>
              <w:right w:w="15" w:type="dxa"/>
            </w:tcMar>
            <w:vAlign w:val="center"/>
            <w:hideMark/>
          </w:tcPr>
          <w:p w14:paraId="0F9921C6" w14:textId="00A46D1E" w:rsidR="00E1091D" w:rsidRPr="00E1091D" w:rsidRDefault="00E1091D" w:rsidP="00E1091D">
            <w:pPr>
              <w:textAlignment w:val="bottom"/>
              <w:rPr>
                <w:szCs w:val="36"/>
              </w:rPr>
            </w:pPr>
            <w:r w:rsidRPr="00E1091D">
              <w:rPr>
                <w:rFonts w:eastAsia="Helvetica Neue Medium"/>
                <w:color w:val="FFFFFF"/>
                <w:szCs w:val="48"/>
              </w:rPr>
              <w:t>1,7%</w:t>
            </w:r>
          </w:p>
        </w:tc>
      </w:tr>
      <w:tr w:rsidR="00E1091D" w:rsidRPr="00E1091D" w14:paraId="45436B40" w14:textId="77777777" w:rsidTr="006E0D2D">
        <w:trPr>
          <w:trHeight w:val="368"/>
          <w:jc w:val="center"/>
        </w:trPr>
        <w:tc>
          <w:tcPr>
            <w:tcW w:w="1605" w:type="dxa"/>
            <w:tcBorders>
              <w:top w:val="single" w:sz="8" w:space="0" w:color="FFFFFF"/>
              <w:left w:val="single" w:sz="8" w:space="0" w:color="FFFFFF"/>
              <w:bottom w:val="single" w:sz="8" w:space="0" w:color="FFFFFF"/>
              <w:right w:val="single" w:sz="8" w:space="0" w:color="FFFFFF"/>
            </w:tcBorders>
            <w:shd w:val="clear" w:color="auto" w:fill="CCCDD2"/>
            <w:tcMar>
              <w:top w:w="15" w:type="dxa"/>
              <w:left w:w="15" w:type="dxa"/>
              <w:bottom w:w="0" w:type="dxa"/>
              <w:right w:w="15" w:type="dxa"/>
            </w:tcMar>
            <w:vAlign w:val="center"/>
            <w:hideMark/>
          </w:tcPr>
          <w:p w14:paraId="2FE50B70" w14:textId="3EFAD544" w:rsidR="00E1091D" w:rsidRPr="00E1091D" w:rsidRDefault="00E1091D" w:rsidP="00E1091D">
            <w:pPr>
              <w:textAlignment w:val="bottom"/>
              <w:rPr>
                <w:szCs w:val="36"/>
              </w:rPr>
            </w:pPr>
            <w:r w:rsidRPr="00E1091D">
              <w:rPr>
                <w:rFonts w:eastAsia="Helvetica Neue Medium"/>
                <w:color w:val="000000"/>
                <w:szCs w:val="48"/>
              </w:rPr>
              <w:t>Software</w:t>
            </w:r>
          </w:p>
        </w:tc>
        <w:tc>
          <w:tcPr>
            <w:tcW w:w="1138" w:type="dxa"/>
            <w:tcBorders>
              <w:top w:val="single" w:sz="8" w:space="0" w:color="FFFFFF"/>
              <w:left w:val="single" w:sz="8" w:space="0" w:color="FFFFFF"/>
              <w:bottom w:val="single" w:sz="8" w:space="0" w:color="FFFFFF"/>
              <w:right w:val="single" w:sz="8" w:space="0" w:color="FFFFFF"/>
            </w:tcBorders>
            <w:shd w:val="clear" w:color="auto" w:fill="CCCDD2"/>
            <w:tcMar>
              <w:top w:w="15" w:type="dxa"/>
              <w:left w:w="15" w:type="dxa"/>
              <w:bottom w:w="0" w:type="dxa"/>
              <w:right w:w="15" w:type="dxa"/>
            </w:tcMar>
            <w:vAlign w:val="center"/>
            <w:hideMark/>
          </w:tcPr>
          <w:p w14:paraId="00F487C2" w14:textId="77777777" w:rsidR="00E1091D" w:rsidRPr="00E1091D" w:rsidRDefault="00E1091D" w:rsidP="00E1091D">
            <w:pPr>
              <w:textAlignment w:val="bottom"/>
              <w:rPr>
                <w:szCs w:val="36"/>
              </w:rPr>
            </w:pPr>
            <w:r w:rsidRPr="00E1091D">
              <w:rPr>
                <w:rFonts w:eastAsia="Helvetica Neue Medium"/>
                <w:color w:val="000000"/>
                <w:szCs w:val="48"/>
              </w:rPr>
              <w:t>3.266</w:t>
            </w:r>
          </w:p>
        </w:tc>
        <w:tc>
          <w:tcPr>
            <w:tcW w:w="1139" w:type="dxa"/>
            <w:tcBorders>
              <w:top w:val="single" w:sz="8" w:space="0" w:color="FFFFFF"/>
              <w:left w:val="single" w:sz="8" w:space="0" w:color="FFFFFF"/>
              <w:bottom w:val="single" w:sz="8" w:space="0" w:color="FFFFFF"/>
              <w:right w:val="single" w:sz="8" w:space="0" w:color="FFFFFF"/>
            </w:tcBorders>
            <w:shd w:val="clear" w:color="auto" w:fill="4590B8"/>
            <w:tcMar>
              <w:top w:w="15" w:type="dxa"/>
              <w:left w:w="15" w:type="dxa"/>
              <w:bottom w:w="0" w:type="dxa"/>
              <w:right w:w="15" w:type="dxa"/>
            </w:tcMar>
            <w:vAlign w:val="center"/>
            <w:hideMark/>
          </w:tcPr>
          <w:p w14:paraId="4008C1B4" w14:textId="77777777" w:rsidR="00E1091D" w:rsidRPr="00E1091D" w:rsidRDefault="00E1091D" w:rsidP="00E1091D">
            <w:pPr>
              <w:textAlignment w:val="bottom"/>
              <w:rPr>
                <w:szCs w:val="36"/>
              </w:rPr>
            </w:pPr>
            <w:r w:rsidRPr="00E1091D">
              <w:rPr>
                <w:rFonts w:eastAsia="Helvetica Neue Medium"/>
                <w:color w:val="FFFFFF"/>
                <w:szCs w:val="48"/>
              </w:rPr>
              <w:t>3.501</w:t>
            </w:r>
          </w:p>
        </w:tc>
        <w:tc>
          <w:tcPr>
            <w:tcW w:w="41" w:type="dxa"/>
            <w:tcBorders>
              <w:top w:val="single" w:sz="8" w:space="0" w:color="FFFFFF"/>
              <w:left w:val="single" w:sz="8" w:space="0" w:color="FFFFFF"/>
              <w:bottom w:val="single" w:sz="8" w:space="0" w:color="FFFFFF"/>
              <w:right w:val="single" w:sz="8" w:space="0" w:color="FFFFFF"/>
            </w:tcBorders>
            <w:shd w:val="clear" w:color="auto" w:fill="CCCDD2"/>
            <w:tcMar>
              <w:top w:w="15" w:type="dxa"/>
              <w:left w:w="15" w:type="dxa"/>
              <w:bottom w:w="0" w:type="dxa"/>
              <w:right w:w="15" w:type="dxa"/>
            </w:tcMar>
            <w:vAlign w:val="center"/>
            <w:hideMark/>
          </w:tcPr>
          <w:p w14:paraId="2AFBFCA2" w14:textId="77777777" w:rsidR="00E1091D" w:rsidRPr="00E1091D" w:rsidRDefault="00E1091D" w:rsidP="00E1091D">
            <w:pPr>
              <w:rPr>
                <w:szCs w:val="36"/>
              </w:rPr>
            </w:pPr>
          </w:p>
        </w:tc>
        <w:tc>
          <w:tcPr>
            <w:tcW w:w="1543" w:type="dxa"/>
            <w:tcBorders>
              <w:top w:val="single" w:sz="8" w:space="0" w:color="FFFFFF"/>
              <w:left w:val="single" w:sz="8" w:space="0" w:color="FFFFFF"/>
              <w:bottom w:val="single" w:sz="8" w:space="0" w:color="FFFFFF"/>
              <w:right w:val="single" w:sz="8" w:space="0" w:color="FFFFFF"/>
            </w:tcBorders>
            <w:shd w:val="clear" w:color="auto" w:fill="4590B8"/>
            <w:tcMar>
              <w:top w:w="15" w:type="dxa"/>
              <w:left w:w="15" w:type="dxa"/>
              <w:bottom w:w="0" w:type="dxa"/>
              <w:right w:w="15" w:type="dxa"/>
            </w:tcMar>
            <w:vAlign w:val="center"/>
            <w:hideMark/>
          </w:tcPr>
          <w:p w14:paraId="20179F35" w14:textId="77777777" w:rsidR="00E1091D" w:rsidRPr="00E1091D" w:rsidRDefault="00E1091D" w:rsidP="00E1091D">
            <w:pPr>
              <w:textAlignment w:val="bottom"/>
              <w:rPr>
                <w:szCs w:val="36"/>
              </w:rPr>
            </w:pPr>
            <w:r w:rsidRPr="00E1091D">
              <w:rPr>
                <w:rFonts w:eastAsia="Helvetica Neue Medium"/>
                <w:color w:val="FFFFFF"/>
                <w:szCs w:val="48"/>
              </w:rPr>
              <w:t>7,2%</w:t>
            </w:r>
          </w:p>
        </w:tc>
      </w:tr>
      <w:tr w:rsidR="00E1091D" w:rsidRPr="00E1091D" w14:paraId="34A660C5" w14:textId="77777777" w:rsidTr="006E0D2D">
        <w:trPr>
          <w:trHeight w:val="368"/>
          <w:jc w:val="center"/>
        </w:trPr>
        <w:tc>
          <w:tcPr>
            <w:tcW w:w="1605"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center"/>
            <w:hideMark/>
          </w:tcPr>
          <w:p w14:paraId="46765C87" w14:textId="37D4627A" w:rsidR="00E1091D" w:rsidRPr="00E1091D" w:rsidRDefault="00E1091D" w:rsidP="00E1091D">
            <w:pPr>
              <w:textAlignment w:val="bottom"/>
              <w:rPr>
                <w:szCs w:val="36"/>
              </w:rPr>
            </w:pPr>
            <w:r w:rsidRPr="00E1091D">
              <w:rPr>
                <w:rFonts w:eastAsia="Helvetica Neue Medium"/>
                <w:color w:val="000000"/>
                <w:szCs w:val="48"/>
              </w:rPr>
              <w:t>Servicios TI</w:t>
            </w:r>
          </w:p>
        </w:tc>
        <w:tc>
          <w:tcPr>
            <w:tcW w:w="1138"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center"/>
            <w:hideMark/>
          </w:tcPr>
          <w:p w14:paraId="45C87E8F" w14:textId="77777777" w:rsidR="00E1091D" w:rsidRPr="00E1091D" w:rsidRDefault="00E1091D" w:rsidP="00E1091D">
            <w:pPr>
              <w:textAlignment w:val="bottom"/>
              <w:rPr>
                <w:szCs w:val="36"/>
              </w:rPr>
            </w:pPr>
            <w:r w:rsidRPr="00E1091D">
              <w:rPr>
                <w:rFonts w:eastAsia="Helvetica Neue Medium"/>
                <w:color w:val="000000"/>
                <w:szCs w:val="48"/>
              </w:rPr>
              <w:t>17.106</w:t>
            </w:r>
          </w:p>
        </w:tc>
        <w:tc>
          <w:tcPr>
            <w:tcW w:w="1139" w:type="dxa"/>
            <w:tcBorders>
              <w:top w:val="single" w:sz="8" w:space="0" w:color="FFFFFF"/>
              <w:left w:val="single" w:sz="8" w:space="0" w:color="FFFFFF"/>
              <w:bottom w:val="single" w:sz="8" w:space="0" w:color="FFFFFF"/>
              <w:right w:val="single" w:sz="8" w:space="0" w:color="FFFFFF"/>
            </w:tcBorders>
            <w:shd w:val="clear" w:color="auto" w:fill="4590B8"/>
            <w:tcMar>
              <w:top w:w="15" w:type="dxa"/>
              <w:left w:w="15" w:type="dxa"/>
              <w:bottom w:w="0" w:type="dxa"/>
              <w:right w:w="15" w:type="dxa"/>
            </w:tcMar>
            <w:vAlign w:val="center"/>
            <w:hideMark/>
          </w:tcPr>
          <w:p w14:paraId="37AC13C9" w14:textId="77777777" w:rsidR="00E1091D" w:rsidRPr="00E1091D" w:rsidRDefault="00E1091D" w:rsidP="00E1091D">
            <w:pPr>
              <w:textAlignment w:val="bottom"/>
              <w:rPr>
                <w:szCs w:val="36"/>
              </w:rPr>
            </w:pPr>
            <w:r w:rsidRPr="00E1091D">
              <w:rPr>
                <w:rFonts w:eastAsia="Helvetica Neue Medium"/>
                <w:color w:val="FFFFFF"/>
                <w:szCs w:val="48"/>
              </w:rPr>
              <w:t>18.611</w:t>
            </w:r>
          </w:p>
        </w:tc>
        <w:tc>
          <w:tcPr>
            <w:tcW w:w="41" w:type="dxa"/>
            <w:tcBorders>
              <w:top w:val="single" w:sz="8" w:space="0" w:color="FFFFFF"/>
              <w:left w:val="single" w:sz="8" w:space="0" w:color="FFFFFF"/>
              <w:bottom w:val="single" w:sz="8" w:space="0" w:color="FFFFFF"/>
              <w:right w:val="single" w:sz="8" w:space="0" w:color="FFFFFF"/>
            </w:tcBorders>
            <w:shd w:val="clear" w:color="auto" w:fill="E7E8EA"/>
            <w:tcMar>
              <w:top w:w="15" w:type="dxa"/>
              <w:left w:w="15" w:type="dxa"/>
              <w:bottom w:w="0" w:type="dxa"/>
              <w:right w:w="15" w:type="dxa"/>
            </w:tcMar>
            <w:vAlign w:val="center"/>
            <w:hideMark/>
          </w:tcPr>
          <w:p w14:paraId="5F7FC5B5" w14:textId="77777777" w:rsidR="00E1091D" w:rsidRPr="00E1091D" w:rsidRDefault="00E1091D" w:rsidP="00E1091D">
            <w:pPr>
              <w:rPr>
                <w:szCs w:val="36"/>
              </w:rPr>
            </w:pPr>
          </w:p>
        </w:tc>
        <w:tc>
          <w:tcPr>
            <w:tcW w:w="1543" w:type="dxa"/>
            <w:tcBorders>
              <w:top w:val="single" w:sz="8" w:space="0" w:color="FFFFFF"/>
              <w:left w:val="single" w:sz="8" w:space="0" w:color="FFFFFF"/>
              <w:bottom w:val="single" w:sz="8" w:space="0" w:color="FFFFFF"/>
              <w:right w:val="single" w:sz="8" w:space="0" w:color="FFFFFF"/>
            </w:tcBorders>
            <w:shd w:val="clear" w:color="auto" w:fill="4590B8"/>
            <w:tcMar>
              <w:top w:w="15" w:type="dxa"/>
              <w:left w:w="15" w:type="dxa"/>
              <w:bottom w:w="0" w:type="dxa"/>
              <w:right w:w="15" w:type="dxa"/>
            </w:tcMar>
            <w:vAlign w:val="center"/>
            <w:hideMark/>
          </w:tcPr>
          <w:p w14:paraId="43D099BB" w14:textId="77777777" w:rsidR="00E1091D" w:rsidRPr="00E1091D" w:rsidRDefault="00E1091D" w:rsidP="00E1091D">
            <w:pPr>
              <w:textAlignment w:val="bottom"/>
              <w:rPr>
                <w:szCs w:val="36"/>
              </w:rPr>
            </w:pPr>
            <w:r w:rsidRPr="00E1091D">
              <w:rPr>
                <w:rFonts w:eastAsia="Helvetica Neue Medium"/>
                <w:color w:val="FFFFFF"/>
                <w:szCs w:val="48"/>
              </w:rPr>
              <w:t>8,8%</w:t>
            </w:r>
          </w:p>
        </w:tc>
      </w:tr>
      <w:tr w:rsidR="00E1091D" w:rsidRPr="00E1091D" w14:paraId="29CD467D" w14:textId="77777777" w:rsidTr="006E0D2D">
        <w:trPr>
          <w:trHeight w:val="368"/>
          <w:jc w:val="center"/>
        </w:trPr>
        <w:tc>
          <w:tcPr>
            <w:tcW w:w="1605" w:type="dxa"/>
            <w:tcBorders>
              <w:top w:val="single" w:sz="8" w:space="0" w:color="FFFFFF"/>
              <w:left w:val="single" w:sz="8" w:space="0" w:color="FFFFFF"/>
              <w:bottom w:val="single" w:sz="8" w:space="0" w:color="FFFFFF"/>
              <w:right w:val="single" w:sz="8" w:space="0" w:color="FFFFFF"/>
            </w:tcBorders>
            <w:shd w:val="clear" w:color="auto" w:fill="CCCDD2"/>
            <w:tcMar>
              <w:top w:w="15" w:type="dxa"/>
              <w:left w:w="15" w:type="dxa"/>
              <w:bottom w:w="0" w:type="dxa"/>
              <w:right w:w="15" w:type="dxa"/>
            </w:tcMar>
            <w:vAlign w:val="center"/>
            <w:hideMark/>
          </w:tcPr>
          <w:p w14:paraId="6DDB2421" w14:textId="69D2C047" w:rsidR="00E1091D" w:rsidRPr="00E1091D" w:rsidRDefault="00E1091D" w:rsidP="00E1091D">
            <w:pPr>
              <w:textAlignment w:val="bottom"/>
              <w:rPr>
                <w:szCs w:val="36"/>
              </w:rPr>
            </w:pPr>
            <w:proofErr w:type="gramStart"/>
            <w:r w:rsidRPr="00E1091D">
              <w:rPr>
                <w:rFonts w:eastAsia="Helvetica Neue Medium"/>
                <w:b/>
                <w:bCs/>
                <w:color w:val="000000"/>
                <w:szCs w:val="48"/>
              </w:rPr>
              <w:t>TOTAL</w:t>
            </w:r>
            <w:proofErr w:type="gramEnd"/>
            <w:r w:rsidRPr="00E1091D">
              <w:rPr>
                <w:rFonts w:eastAsia="Helvetica Neue Medium"/>
                <w:b/>
                <w:bCs/>
                <w:color w:val="000000"/>
                <w:szCs w:val="48"/>
              </w:rPr>
              <w:t xml:space="preserve"> TI</w:t>
            </w:r>
          </w:p>
        </w:tc>
        <w:tc>
          <w:tcPr>
            <w:tcW w:w="1138" w:type="dxa"/>
            <w:tcBorders>
              <w:top w:val="single" w:sz="8" w:space="0" w:color="FFFFFF"/>
              <w:left w:val="single" w:sz="8" w:space="0" w:color="FFFFFF"/>
              <w:bottom w:val="single" w:sz="8" w:space="0" w:color="FFFFFF"/>
              <w:right w:val="single" w:sz="8" w:space="0" w:color="FFFFFF"/>
            </w:tcBorders>
            <w:shd w:val="clear" w:color="auto" w:fill="CCCDD2"/>
            <w:tcMar>
              <w:top w:w="15" w:type="dxa"/>
              <w:left w:w="15" w:type="dxa"/>
              <w:bottom w:w="0" w:type="dxa"/>
              <w:right w:w="15" w:type="dxa"/>
            </w:tcMar>
            <w:vAlign w:val="center"/>
            <w:hideMark/>
          </w:tcPr>
          <w:p w14:paraId="0B05F988" w14:textId="77777777" w:rsidR="00E1091D" w:rsidRPr="00E1091D" w:rsidRDefault="00E1091D" w:rsidP="00E1091D">
            <w:pPr>
              <w:textAlignment w:val="bottom"/>
              <w:rPr>
                <w:szCs w:val="36"/>
              </w:rPr>
            </w:pPr>
            <w:r w:rsidRPr="00E1091D">
              <w:rPr>
                <w:rFonts w:eastAsia="Helvetica Neue Medium"/>
                <w:b/>
                <w:bCs/>
                <w:color w:val="000000"/>
                <w:szCs w:val="48"/>
              </w:rPr>
              <w:t>24.946</w:t>
            </w:r>
          </w:p>
        </w:tc>
        <w:tc>
          <w:tcPr>
            <w:tcW w:w="1139" w:type="dxa"/>
            <w:tcBorders>
              <w:top w:val="single" w:sz="8" w:space="0" w:color="FFFFFF"/>
              <w:left w:val="single" w:sz="8" w:space="0" w:color="FFFFFF"/>
              <w:bottom w:val="single" w:sz="8" w:space="0" w:color="FFFFFF"/>
              <w:right w:val="single" w:sz="8" w:space="0" w:color="FFFFFF"/>
            </w:tcBorders>
            <w:shd w:val="clear" w:color="auto" w:fill="4590B8"/>
            <w:tcMar>
              <w:top w:w="15" w:type="dxa"/>
              <w:left w:w="15" w:type="dxa"/>
              <w:bottom w:w="0" w:type="dxa"/>
              <w:right w:w="15" w:type="dxa"/>
            </w:tcMar>
            <w:vAlign w:val="center"/>
            <w:hideMark/>
          </w:tcPr>
          <w:p w14:paraId="7F428D7A" w14:textId="77777777" w:rsidR="00E1091D" w:rsidRPr="00E1091D" w:rsidRDefault="00E1091D" w:rsidP="00E1091D">
            <w:pPr>
              <w:textAlignment w:val="bottom"/>
              <w:rPr>
                <w:szCs w:val="36"/>
              </w:rPr>
            </w:pPr>
            <w:r w:rsidRPr="00E1091D">
              <w:rPr>
                <w:rFonts w:eastAsia="Helvetica Neue Medium"/>
                <w:b/>
                <w:bCs/>
                <w:color w:val="FFFFFF"/>
                <w:szCs w:val="48"/>
              </w:rPr>
              <w:t>26.765</w:t>
            </w:r>
          </w:p>
        </w:tc>
        <w:tc>
          <w:tcPr>
            <w:tcW w:w="41" w:type="dxa"/>
            <w:tcBorders>
              <w:top w:val="single" w:sz="8" w:space="0" w:color="FFFFFF"/>
              <w:left w:val="single" w:sz="8" w:space="0" w:color="FFFFFF"/>
              <w:bottom w:val="single" w:sz="8" w:space="0" w:color="FFFFFF"/>
              <w:right w:val="single" w:sz="8" w:space="0" w:color="FFFFFF"/>
            </w:tcBorders>
            <w:shd w:val="clear" w:color="auto" w:fill="CCCDD2"/>
            <w:tcMar>
              <w:top w:w="15" w:type="dxa"/>
              <w:left w:w="15" w:type="dxa"/>
              <w:bottom w:w="0" w:type="dxa"/>
              <w:right w:w="15" w:type="dxa"/>
            </w:tcMar>
            <w:vAlign w:val="center"/>
            <w:hideMark/>
          </w:tcPr>
          <w:p w14:paraId="373A6E91" w14:textId="77777777" w:rsidR="00E1091D" w:rsidRPr="00E1091D" w:rsidRDefault="00E1091D" w:rsidP="00E1091D">
            <w:pPr>
              <w:rPr>
                <w:szCs w:val="36"/>
              </w:rPr>
            </w:pPr>
          </w:p>
        </w:tc>
        <w:tc>
          <w:tcPr>
            <w:tcW w:w="1543" w:type="dxa"/>
            <w:tcBorders>
              <w:top w:val="single" w:sz="8" w:space="0" w:color="FFFFFF"/>
              <w:left w:val="single" w:sz="8" w:space="0" w:color="FFFFFF"/>
              <w:bottom w:val="single" w:sz="8" w:space="0" w:color="FFFFFF"/>
              <w:right w:val="single" w:sz="8" w:space="0" w:color="FFFFFF"/>
            </w:tcBorders>
            <w:shd w:val="clear" w:color="auto" w:fill="4590B8"/>
            <w:tcMar>
              <w:top w:w="15" w:type="dxa"/>
              <w:left w:w="15" w:type="dxa"/>
              <w:bottom w:w="0" w:type="dxa"/>
              <w:right w:w="15" w:type="dxa"/>
            </w:tcMar>
            <w:vAlign w:val="center"/>
            <w:hideMark/>
          </w:tcPr>
          <w:p w14:paraId="57B08438" w14:textId="77777777" w:rsidR="00E1091D" w:rsidRPr="00E1091D" w:rsidRDefault="00E1091D" w:rsidP="00E1091D">
            <w:pPr>
              <w:textAlignment w:val="bottom"/>
              <w:rPr>
                <w:szCs w:val="36"/>
              </w:rPr>
            </w:pPr>
            <w:r w:rsidRPr="00E1091D">
              <w:rPr>
                <w:rFonts w:eastAsia="Helvetica Neue Medium"/>
                <w:b/>
                <w:bCs/>
                <w:color w:val="FFFFFF"/>
                <w:szCs w:val="48"/>
              </w:rPr>
              <w:t>7,3%</w:t>
            </w:r>
          </w:p>
        </w:tc>
      </w:tr>
    </w:tbl>
    <w:p w14:paraId="3B81E9B7" w14:textId="77777777" w:rsidR="00893E06" w:rsidRDefault="00893E06" w:rsidP="005F3D50">
      <w:pPr>
        <w:jc w:val="both"/>
        <w:rPr>
          <w:b/>
          <w:color w:val="3C3C3C"/>
          <w:sz w:val="20"/>
          <w:u w:val="single"/>
        </w:rPr>
      </w:pPr>
    </w:p>
    <w:p w14:paraId="4C46B8E1" w14:textId="77777777" w:rsidR="00F069AC" w:rsidRDefault="00F069AC" w:rsidP="005F3D50">
      <w:pPr>
        <w:jc w:val="both"/>
        <w:rPr>
          <w:b/>
          <w:color w:val="3C3C3C"/>
          <w:sz w:val="20"/>
          <w:u w:val="single"/>
        </w:rPr>
      </w:pPr>
    </w:p>
    <w:p w14:paraId="45038F2C" w14:textId="77777777" w:rsidR="00F069AC" w:rsidRDefault="00F069AC" w:rsidP="005F3D50">
      <w:pPr>
        <w:jc w:val="both"/>
        <w:rPr>
          <w:b/>
          <w:color w:val="3C3C3C"/>
          <w:sz w:val="20"/>
          <w:u w:val="single"/>
        </w:rPr>
      </w:pPr>
    </w:p>
    <w:p w14:paraId="54D3EAA9" w14:textId="77777777" w:rsidR="00F069AC" w:rsidRDefault="00F069AC" w:rsidP="005F3D50">
      <w:pPr>
        <w:jc w:val="both"/>
        <w:rPr>
          <w:b/>
          <w:color w:val="3C3C3C"/>
          <w:sz w:val="20"/>
          <w:u w:val="single"/>
        </w:rPr>
      </w:pPr>
    </w:p>
    <w:p w14:paraId="4839B1C9" w14:textId="77777777" w:rsidR="00F069AC" w:rsidRDefault="00F069AC" w:rsidP="005F3D50">
      <w:pPr>
        <w:jc w:val="both"/>
        <w:rPr>
          <w:b/>
          <w:color w:val="3C3C3C"/>
          <w:sz w:val="20"/>
          <w:u w:val="single"/>
        </w:rPr>
      </w:pPr>
    </w:p>
    <w:p w14:paraId="375371EE" w14:textId="77777777" w:rsidR="00F069AC" w:rsidRDefault="00F069AC" w:rsidP="005F3D50">
      <w:pPr>
        <w:jc w:val="both"/>
        <w:rPr>
          <w:b/>
          <w:color w:val="3C3C3C"/>
          <w:sz w:val="20"/>
          <w:u w:val="single"/>
        </w:rPr>
      </w:pPr>
    </w:p>
    <w:p w14:paraId="22F95550" w14:textId="77777777" w:rsidR="00D41818" w:rsidRDefault="00D41818" w:rsidP="005F3D50">
      <w:pPr>
        <w:jc w:val="both"/>
        <w:rPr>
          <w:b/>
          <w:color w:val="3C3C3C"/>
          <w:sz w:val="20"/>
          <w:u w:val="single"/>
        </w:rPr>
      </w:pPr>
    </w:p>
    <w:p w14:paraId="135EFA0E" w14:textId="77777777" w:rsidR="00D41818" w:rsidRDefault="00D41818" w:rsidP="005F3D50">
      <w:pPr>
        <w:jc w:val="both"/>
        <w:rPr>
          <w:b/>
          <w:color w:val="3C3C3C"/>
          <w:sz w:val="20"/>
          <w:u w:val="single"/>
        </w:rPr>
      </w:pPr>
    </w:p>
    <w:p w14:paraId="412DC7EA" w14:textId="43D5020E" w:rsidR="004802BB" w:rsidRPr="00D41818" w:rsidRDefault="00EE4BD4" w:rsidP="005F3D50">
      <w:pPr>
        <w:jc w:val="both"/>
        <w:rPr>
          <w:b/>
          <w:color w:val="3C3C3C"/>
          <w:sz w:val="20"/>
        </w:rPr>
      </w:pPr>
      <w:r w:rsidRPr="00D41818">
        <w:rPr>
          <w:b/>
          <w:color w:val="3C3C3C"/>
          <w:sz w:val="20"/>
        </w:rPr>
        <w:t xml:space="preserve">El empleo </w:t>
      </w:r>
      <w:r w:rsidR="00DA3855" w:rsidRPr="00D41818">
        <w:rPr>
          <w:b/>
          <w:color w:val="3C3C3C"/>
          <w:sz w:val="20"/>
        </w:rPr>
        <w:t>TI</w:t>
      </w:r>
      <w:r w:rsidRPr="00D41818">
        <w:rPr>
          <w:b/>
          <w:color w:val="3C3C3C"/>
          <w:sz w:val="20"/>
        </w:rPr>
        <w:t xml:space="preserve"> crec</w:t>
      </w:r>
      <w:r w:rsidR="00D41818" w:rsidRPr="00D41818">
        <w:rPr>
          <w:b/>
          <w:color w:val="3C3C3C"/>
          <w:sz w:val="20"/>
        </w:rPr>
        <w:t>e un 6,8%</w:t>
      </w:r>
    </w:p>
    <w:p w14:paraId="58711E5F" w14:textId="77777777" w:rsidR="007E2D59" w:rsidRPr="007E2D59" w:rsidRDefault="007E2D59" w:rsidP="005F3D50">
      <w:pPr>
        <w:jc w:val="both"/>
        <w:rPr>
          <w:b/>
          <w:color w:val="3C3C3C"/>
          <w:sz w:val="20"/>
          <w:u w:val="single"/>
        </w:rPr>
      </w:pPr>
    </w:p>
    <w:p w14:paraId="1B9A6FE6" w14:textId="69FBED06" w:rsidR="006E0D2D" w:rsidRDefault="006E0D2D" w:rsidP="006E0D2D">
      <w:pPr>
        <w:jc w:val="both"/>
        <w:rPr>
          <w:color w:val="3C3C3C"/>
          <w:sz w:val="20"/>
        </w:rPr>
      </w:pPr>
      <w:r w:rsidRPr="006E0D2D">
        <w:rPr>
          <w:color w:val="3C3C3C"/>
          <w:sz w:val="20"/>
        </w:rPr>
        <w:t>El empleo directo TI se el</w:t>
      </w:r>
      <w:r>
        <w:rPr>
          <w:color w:val="3C3C3C"/>
          <w:sz w:val="20"/>
        </w:rPr>
        <w:t>evó en 2018</w:t>
      </w:r>
      <w:r w:rsidRPr="006E0D2D">
        <w:rPr>
          <w:color w:val="3C3C3C"/>
          <w:sz w:val="20"/>
        </w:rPr>
        <w:t xml:space="preserve"> hasta los 231.500 trabajadores, un 6,8% má</w:t>
      </w:r>
      <w:r>
        <w:rPr>
          <w:color w:val="3C3C3C"/>
          <w:sz w:val="20"/>
        </w:rPr>
        <w:t>s que en 2017</w:t>
      </w:r>
      <w:r w:rsidR="00033088">
        <w:rPr>
          <w:color w:val="3C3C3C"/>
          <w:sz w:val="20"/>
        </w:rPr>
        <w:t xml:space="preserve">, y hay expectativas de crecimiento a corto plazo. </w:t>
      </w:r>
      <w:r>
        <w:rPr>
          <w:color w:val="3C3C3C"/>
          <w:sz w:val="20"/>
        </w:rPr>
        <w:t>Para AMETIC, l</w:t>
      </w:r>
      <w:r w:rsidRPr="006E0D2D">
        <w:rPr>
          <w:color w:val="3C3C3C"/>
          <w:sz w:val="20"/>
        </w:rPr>
        <w:t xml:space="preserve">a demanda de empleo tecnológico </w:t>
      </w:r>
      <w:r w:rsidR="00D41818">
        <w:rPr>
          <w:color w:val="3C3C3C"/>
          <w:sz w:val="20"/>
        </w:rPr>
        <w:t xml:space="preserve">en su conjunto </w:t>
      </w:r>
      <w:r w:rsidRPr="006E0D2D">
        <w:rPr>
          <w:color w:val="3C3C3C"/>
          <w:sz w:val="20"/>
        </w:rPr>
        <w:t xml:space="preserve">está muy por encima </w:t>
      </w:r>
      <w:r w:rsidR="00D41818">
        <w:rPr>
          <w:color w:val="3C3C3C"/>
          <w:sz w:val="20"/>
        </w:rPr>
        <w:t>d</w:t>
      </w:r>
      <w:r w:rsidRPr="006E0D2D">
        <w:rPr>
          <w:color w:val="3C3C3C"/>
          <w:sz w:val="20"/>
        </w:rPr>
        <w:t>e</w:t>
      </w:r>
      <w:r w:rsidR="00D41818">
        <w:rPr>
          <w:color w:val="3C3C3C"/>
          <w:sz w:val="20"/>
        </w:rPr>
        <w:t xml:space="preserve"> la del</w:t>
      </w:r>
      <w:r w:rsidRPr="006E0D2D">
        <w:rPr>
          <w:color w:val="3C3C3C"/>
          <w:sz w:val="20"/>
        </w:rPr>
        <w:t xml:space="preserve"> sector servicios o </w:t>
      </w:r>
      <w:r w:rsidR="00D41818">
        <w:rPr>
          <w:color w:val="3C3C3C"/>
          <w:sz w:val="20"/>
        </w:rPr>
        <w:t>d</w:t>
      </w:r>
      <w:r w:rsidRPr="006E0D2D">
        <w:rPr>
          <w:color w:val="3C3C3C"/>
          <w:sz w:val="20"/>
        </w:rPr>
        <w:t>el global de los sectores económicos</w:t>
      </w:r>
      <w:r w:rsidR="00D41818">
        <w:rPr>
          <w:color w:val="3C3C3C"/>
          <w:sz w:val="20"/>
        </w:rPr>
        <w:t xml:space="preserve">. </w:t>
      </w:r>
      <w:r w:rsidR="00033088">
        <w:rPr>
          <w:color w:val="3C3C3C"/>
          <w:sz w:val="20"/>
        </w:rPr>
        <w:t>No obstante, e</w:t>
      </w:r>
      <w:r w:rsidRPr="006E0D2D">
        <w:rPr>
          <w:color w:val="3C3C3C"/>
          <w:sz w:val="20"/>
        </w:rPr>
        <w:t xml:space="preserve">xiste un </w:t>
      </w:r>
      <w:r w:rsidR="00033088">
        <w:rPr>
          <w:color w:val="3C3C3C"/>
          <w:sz w:val="20"/>
        </w:rPr>
        <w:t xml:space="preserve">salto </w:t>
      </w:r>
      <w:r w:rsidRPr="006E0D2D">
        <w:rPr>
          <w:color w:val="3C3C3C"/>
          <w:sz w:val="20"/>
        </w:rPr>
        <w:t>entre las necesidades de talento tecnológico en las empresas y el mercado laboral en general</w:t>
      </w:r>
      <w:r w:rsidR="00033088">
        <w:rPr>
          <w:color w:val="3C3C3C"/>
          <w:sz w:val="20"/>
        </w:rPr>
        <w:t>,</w:t>
      </w:r>
      <w:r w:rsidRPr="006E0D2D">
        <w:rPr>
          <w:color w:val="3C3C3C"/>
          <w:sz w:val="20"/>
        </w:rPr>
        <w:t xml:space="preserve"> y las capacidades educativas de </w:t>
      </w:r>
      <w:r w:rsidR="00033088">
        <w:rPr>
          <w:color w:val="3C3C3C"/>
          <w:sz w:val="20"/>
        </w:rPr>
        <w:t>España</w:t>
      </w:r>
      <w:r w:rsidRPr="006E0D2D">
        <w:rPr>
          <w:color w:val="3C3C3C"/>
          <w:sz w:val="20"/>
        </w:rPr>
        <w:t xml:space="preserve"> para generarlo</w:t>
      </w:r>
      <w:r w:rsidR="00033088">
        <w:rPr>
          <w:color w:val="3C3C3C"/>
          <w:sz w:val="20"/>
        </w:rPr>
        <w:t>. Por otro lado, se aprecia</w:t>
      </w:r>
      <w:r w:rsidRPr="006E0D2D">
        <w:rPr>
          <w:color w:val="3C3C3C"/>
          <w:sz w:val="20"/>
        </w:rPr>
        <w:t xml:space="preserve"> un notable incremento en la rotación de personal entre empresas del propio sector TI</w:t>
      </w:r>
      <w:r w:rsidR="00033088">
        <w:rPr>
          <w:color w:val="3C3C3C"/>
          <w:sz w:val="20"/>
        </w:rPr>
        <w:t>.</w:t>
      </w:r>
    </w:p>
    <w:p w14:paraId="0199555E" w14:textId="77777777" w:rsidR="00965D81" w:rsidRDefault="00965D81" w:rsidP="007E32C6">
      <w:pPr>
        <w:jc w:val="both"/>
        <w:rPr>
          <w:color w:val="3C3C3C"/>
          <w:sz w:val="20"/>
        </w:rPr>
      </w:pPr>
    </w:p>
    <w:p w14:paraId="726C9BC9" w14:textId="30ADFA1F" w:rsidR="00965D81" w:rsidRPr="007368E3" w:rsidRDefault="00BA7A6B" w:rsidP="00965D81">
      <w:pPr>
        <w:jc w:val="both"/>
        <w:rPr>
          <w:rFonts w:ascii="Roboto" w:hAnsi="Roboto"/>
          <w:sz w:val="18"/>
          <w:szCs w:val="18"/>
        </w:rPr>
      </w:pPr>
      <w:r>
        <w:rPr>
          <w:noProof/>
        </w:rPr>
        <mc:AlternateContent>
          <mc:Choice Requires="wps">
            <w:drawing>
              <wp:anchor distT="45720" distB="45720" distL="114300" distR="114300" simplePos="0" relativeHeight="251659264" behindDoc="0" locked="0" layoutInCell="1" allowOverlap="1" wp14:anchorId="1D613E25" wp14:editId="60853B0F">
                <wp:simplePos x="0" y="0"/>
                <wp:positionH relativeFrom="margin">
                  <wp:posOffset>-1270</wp:posOffset>
                </wp:positionH>
                <wp:positionV relativeFrom="paragraph">
                  <wp:posOffset>173355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60805E2A" w14:textId="247EB7B4" w:rsidR="00BA7A6B" w:rsidRPr="009747BE" w:rsidRDefault="00BA7A6B" w:rsidP="00BA7A6B">
                            <w:pPr>
                              <w:jc w:val="both"/>
                              <w:rPr>
                                <w:b/>
                                <w:color w:val="3C3C3C"/>
                                <w:sz w:val="18"/>
                              </w:rPr>
                            </w:pPr>
                            <w:r>
                              <w:rPr>
                                <w:b/>
                                <w:color w:val="3C3C3C"/>
                                <w:sz w:val="18"/>
                              </w:rPr>
                              <w:t xml:space="preserve">Sobre </w:t>
                            </w:r>
                            <w:r w:rsidR="0045044E">
                              <w:rPr>
                                <w:b/>
                                <w:color w:val="3C3C3C"/>
                                <w:sz w:val="18"/>
                              </w:rPr>
                              <w:t>AMETIC</w:t>
                            </w:r>
                          </w:p>
                          <w:p w14:paraId="37A96A45" w14:textId="77777777" w:rsidR="00BA7A6B" w:rsidRPr="009747BE" w:rsidRDefault="00BA7A6B" w:rsidP="00BA7A6B">
                            <w:pPr>
                              <w:jc w:val="both"/>
                              <w:rPr>
                                <w:b/>
                                <w:color w:val="3C3C3C"/>
                                <w:sz w:val="18"/>
                              </w:rPr>
                            </w:pPr>
                          </w:p>
                          <w:p w14:paraId="795E99F3" w14:textId="061048F5" w:rsidR="00BA7A6B" w:rsidRPr="009747BE" w:rsidRDefault="00BA7A6B" w:rsidP="00BA7A6B">
                            <w:pPr>
                              <w:jc w:val="both"/>
                              <w:rPr>
                                <w:color w:val="3C3C3C"/>
                                <w:sz w:val="18"/>
                              </w:rPr>
                            </w:pPr>
                            <w:r>
                              <w:rPr>
                                <w:color w:val="3C3C3C"/>
                                <w:sz w:val="18"/>
                              </w:rPr>
                              <w:t>A</w:t>
                            </w:r>
                            <w:r w:rsidR="0045044E">
                              <w:rPr>
                                <w:color w:val="3C3C3C"/>
                                <w:sz w:val="18"/>
                              </w:rPr>
                              <w:t>METIC</w:t>
                            </w:r>
                            <w:r>
                              <w:rPr>
                                <w:color w:val="3C3C3C"/>
                                <w:sz w:val="18"/>
                              </w:rPr>
                              <w:t xml:space="preserve">,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w:t>
                            </w:r>
                            <w:r w:rsidR="0045044E">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w:t>
                            </w:r>
                            <w:r w:rsidR="009625DC">
                              <w:rPr>
                                <w:color w:val="3C3C3C"/>
                                <w:sz w:val="18"/>
                              </w:rPr>
                              <w:t>cesos empresariales. Representa</w:t>
                            </w:r>
                            <w:r w:rsidRPr="009747BE">
                              <w:rPr>
                                <w:color w:val="3C3C3C"/>
                                <w:sz w:val="18"/>
                              </w:rPr>
                              <w:t xml:space="preserve">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3D450B05" w14:textId="77777777" w:rsidR="00BA7A6B" w:rsidRPr="009747BE" w:rsidRDefault="00BA7A6B" w:rsidP="00BA7A6B">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1CC48F84" w14:textId="77777777" w:rsidR="00BA7A6B" w:rsidRDefault="00BA7A6B" w:rsidP="00BA7A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13E25" id="_x0000_t202" coordsize="21600,21600" o:spt="202" path="m,l,21600r21600,l21600,xe">
                <v:stroke joinstyle="miter"/>
                <v:path gradientshapeok="t" o:connecttype="rect"/>
              </v:shapetype>
              <v:shape id="Cuadro de texto 2" o:spid="_x0000_s1026" type="#_x0000_t202" style="position:absolute;left:0;text-align:left;margin-left:-.1pt;margin-top:13.6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" fillcolor="#e7e6e6 [3214]" strokecolor="#3c3c3c">
                <v:textbox style="mso-fit-shape-to-text:t">
                  <w:txbxContent>
                    <w:p w14:paraId="60805E2A" w14:textId="247EB7B4" w:rsidR="00BA7A6B" w:rsidRPr="009747BE" w:rsidRDefault="00BA7A6B" w:rsidP="00BA7A6B">
                      <w:pPr>
                        <w:jc w:val="both"/>
                        <w:rPr>
                          <w:b/>
                          <w:color w:val="3C3C3C"/>
                          <w:sz w:val="18"/>
                        </w:rPr>
                      </w:pPr>
                      <w:r>
                        <w:rPr>
                          <w:b/>
                          <w:color w:val="3C3C3C"/>
                          <w:sz w:val="18"/>
                        </w:rPr>
                        <w:t xml:space="preserve">Sobre </w:t>
                      </w:r>
                      <w:r w:rsidR="0045044E">
                        <w:rPr>
                          <w:b/>
                          <w:color w:val="3C3C3C"/>
                          <w:sz w:val="18"/>
                        </w:rPr>
                        <w:t>AMETIC</w:t>
                      </w:r>
                    </w:p>
                    <w:p w14:paraId="37A96A45" w14:textId="77777777" w:rsidR="00BA7A6B" w:rsidRPr="009747BE" w:rsidRDefault="00BA7A6B" w:rsidP="00BA7A6B">
                      <w:pPr>
                        <w:jc w:val="both"/>
                        <w:rPr>
                          <w:b/>
                          <w:color w:val="3C3C3C"/>
                          <w:sz w:val="18"/>
                        </w:rPr>
                      </w:pPr>
                    </w:p>
                    <w:p w14:paraId="795E99F3" w14:textId="061048F5" w:rsidR="00BA7A6B" w:rsidRPr="009747BE" w:rsidRDefault="00BA7A6B" w:rsidP="00BA7A6B">
                      <w:pPr>
                        <w:jc w:val="both"/>
                        <w:rPr>
                          <w:color w:val="3C3C3C"/>
                          <w:sz w:val="18"/>
                        </w:rPr>
                      </w:pPr>
                      <w:r>
                        <w:rPr>
                          <w:color w:val="3C3C3C"/>
                          <w:sz w:val="18"/>
                        </w:rPr>
                        <w:t>A</w:t>
                      </w:r>
                      <w:r w:rsidR="0045044E">
                        <w:rPr>
                          <w:color w:val="3C3C3C"/>
                          <w:sz w:val="18"/>
                        </w:rPr>
                        <w:t>METIC</w:t>
                      </w:r>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w:t>
                      </w:r>
                      <w:r w:rsidR="0045044E">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w:t>
                      </w:r>
                      <w:r w:rsidR="009625DC">
                        <w:rPr>
                          <w:color w:val="3C3C3C"/>
                          <w:sz w:val="18"/>
                        </w:rPr>
                        <w:t>cesos empresariales. Representa</w:t>
                      </w:r>
                      <w:r w:rsidRPr="009747BE">
                        <w:rPr>
                          <w:color w:val="3C3C3C"/>
                          <w:sz w:val="18"/>
                        </w:rPr>
                        <w:t xml:space="preserve">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3D450B05" w14:textId="77777777" w:rsidR="00BA7A6B" w:rsidRPr="009747BE" w:rsidRDefault="00BA7A6B" w:rsidP="00BA7A6B">
                      <w:pPr>
                        <w:jc w:val="both"/>
                        <w:rPr>
                          <w:color w:val="3C3C3C"/>
                          <w:sz w:val="18"/>
                        </w:rPr>
                      </w:pPr>
                      <w:r w:rsidRPr="009747BE">
                        <w:rPr>
                          <w:color w:val="3C3C3C"/>
                          <w:sz w:val="18"/>
                        </w:rPr>
                        <w:br/>
                        <w:t xml:space="preserve">Más información: </w:t>
                      </w:r>
                      <w:hyperlink r:id="rId10" w:history="1">
                        <w:r w:rsidRPr="009747BE">
                          <w:rPr>
                            <w:rStyle w:val="Hipervnculo"/>
                            <w:color w:val="3C3C3C"/>
                            <w:sz w:val="18"/>
                          </w:rPr>
                          <w:t>www.ametic.es</w:t>
                        </w:r>
                      </w:hyperlink>
                      <w:r w:rsidRPr="009747BE">
                        <w:rPr>
                          <w:color w:val="3C3C3C"/>
                          <w:sz w:val="18"/>
                        </w:rPr>
                        <w:t xml:space="preserve"> </w:t>
                      </w:r>
                    </w:p>
                    <w:p w14:paraId="1CC48F84" w14:textId="77777777" w:rsidR="00BA7A6B" w:rsidRDefault="00BA7A6B" w:rsidP="00BA7A6B"/>
                  </w:txbxContent>
                </v:textbox>
                <w10:wrap type="square" anchorx="margin"/>
              </v:shape>
            </w:pict>
          </mc:Fallback>
        </mc:AlternateContent>
      </w:r>
    </w:p>
    <w:p w14:paraId="4BA16767" w14:textId="77777777" w:rsidR="00187E6A" w:rsidRDefault="00187E6A" w:rsidP="007E32C6">
      <w:pPr>
        <w:jc w:val="both"/>
      </w:pPr>
    </w:p>
    <w:p w14:paraId="6FE7433B" w14:textId="77777777" w:rsidR="006E0D2D" w:rsidRDefault="009747BE" w:rsidP="009747BE">
      <w:pPr>
        <w:jc w:val="center"/>
        <w:outlineLvl w:val="0"/>
        <w:rPr>
          <w:b/>
          <w:color w:val="3C3C3C"/>
          <w:sz w:val="20"/>
        </w:rPr>
      </w:pPr>
      <w:r w:rsidRPr="007B51EC">
        <w:rPr>
          <w:b/>
          <w:color w:val="3C3C3C"/>
          <w:sz w:val="20"/>
        </w:rPr>
        <w:t xml:space="preserve">Más información: </w:t>
      </w:r>
    </w:p>
    <w:p w14:paraId="0A08C9B1" w14:textId="0C4C42F3" w:rsidR="009747BE" w:rsidRPr="007B51EC" w:rsidRDefault="006E0D2D" w:rsidP="009747BE">
      <w:pPr>
        <w:jc w:val="center"/>
        <w:outlineLvl w:val="0"/>
        <w:rPr>
          <w:color w:val="3C3C3C"/>
          <w:sz w:val="20"/>
        </w:rPr>
      </w:pPr>
      <w:proofErr w:type="spellStart"/>
      <w:r>
        <w:rPr>
          <w:b/>
          <w:color w:val="3C3C3C"/>
          <w:sz w:val="20"/>
        </w:rPr>
        <w:t>Roman</w:t>
      </w:r>
      <w:proofErr w:type="spellEnd"/>
      <w:r>
        <w:rPr>
          <w:b/>
          <w:color w:val="3C3C3C"/>
          <w:sz w:val="20"/>
        </w:rPr>
        <w:t xml:space="preserve"> </w:t>
      </w:r>
      <w:proofErr w:type="spellStart"/>
      <w:r>
        <w:rPr>
          <w:b/>
          <w:color w:val="3C3C3C"/>
          <w:sz w:val="20"/>
        </w:rPr>
        <w:t>Reputation</w:t>
      </w:r>
      <w:proofErr w:type="spellEnd"/>
      <w:r>
        <w:rPr>
          <w:b/>
          <w:color w:val="3C3C3C"/>
          <w:sz w:val="20"/>
        </w:rPr>
        <w:t xml:space="preserve"> </w:t>
      </w:r>
      <w:proofErr w:type="spellStart"/>
      <w:r>
        <w:rPr>
          <w:b/>
          <w:color w:val="3C3C3C"/>
          <w:sz w:val="20"/>
        </w:rPr>
        <w:t>Matters</w:t>
      </w:r>
      <w:proofErr w:type="spellEnd"/>
      <w:r>
        <w:rPr>
          <w:b/>
          <w:color w:val="3C3C3C"/>
          <w:sz w:val="20"/>
        </w:rPr>
        <w:t>.</w:t>
      </w:r>
      <w:r w:rsidR="009747BE" w:rsidRPr="007B51EC">
        <w:rPr>
          <w:color w:val="3C3C3C"/>
          <w:sz w:val="20"/>
        </w:rPr>
        <w:t xml:space="preserve"> Tel. 91 591 55 00</w:t>
      </w:r>
    </w:p>
    <w:p w14:paraId="0E2E34AA" w14:textId="12B3D184" w:rsidR="00187E6A" w:rsidRDefault="006E0D2D" w:rsidP="007E32C6">
      <w:pPr>
        <w:jc w:val="center"/>
        <w:rPr>
          <w:rStyle w:val="Hipervnculo"/>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1" w:history="1">
        <w:r w:rsidRPr="004646BB">
          <w:rPr>
            <w:rStyle w:val="Hipervnculo"/>
            <w:sz w:val="20"/>
          </w:rPr>
          <w:t>c.delalamo</w:t>
        </w:r>
        <w:r w:rsidRPr="006E0D2D">
          <w:rPr>
            <w:rStyle w:val="Hipervnculo"/>
            <w:sz w:val="20"/>
          </w:rPr>
          <w:t>@romanrm.com</w:t>
        </w:r>
      </w:hyperlink>
    </w:p>
    <w:p w14:paraId="17796057" w14:textId="09275579" w:rsidR="006E0D2D" w:rsidRDefault="006E0D2D" w:rsidP="007E32C6">
      <w:pPr>
        <w:jc w:val="center"/>
        <w:rPr>
          <w:b/>
          <w:color w:val="3C3C3C"/>
          <w:sz w:val="20"/>
        </w:rPr>
      </w:pPr>
      <w:r w:rsidRPr="006E0D2D">
        <w:rPr>
          <w:b/>
          <w:color w:val="3C3C3C"/>
          <w:sz w:val="20"/>
        </w:rPr>
        <w:t>Manuel Portocarrero:</w:t>
      </w:r>
      <w:r w:rsidR="00D41818">
        <w:rPr>
          <w:b/>
          <w:color w:val="3C3C3C"/>
          <w:sz w:val="20"/>
        </w:rPr>
        <w:t xml:space="preserve"> </w:t>
      </w:r>
      <w:r w:rsidRPr="006E0D2D">
        <w:rPr>
          <w:rStyle w:val="Hipervnculo"/>
          <w:sz w:val="20"/>
        </w:rPr>
        <w:t>m.portocarrero@romanrm.com</w:t>
      </w:r>
    </w:p>
    <w:p w14:paraId="08CA4704" w14:textId="77777777" w:rsidR="006E0D2D" w:rsidRPr="007B51EC" w:rsidRDefault="006E0D2D" w:rsidP="007E32C6">
      <w:pPr>
        <w:jc w:val="center"/>
        <w:rPr>
          <w:color w:val="3C3C3C"/>
        </w:rPr>
      </w:pPr>
    </w:p>
    <w:sectPr w:rsidR="006E0D2D" w:rsidRPr="007B51EC" w:rsidSect="00834D1E">
      <w:headerReference w:type="default" r:id="rId12"/>
      <w:footerReference w:type="default" r:id="rId13"/>
      <w:pgSz w:w="11906" w:h="16838" w:code="9"/>
      <w:pgMar w:top="1843" w:right="1558" w:bottom="568"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577B" w14:textId="77777777" w:rsidR="00D874A7" w:rsidRDefault="00D874A7" w:rsidP="00382D07">
      <w:r>
        <w:separator/>
      </w:r>
    </w:p>
  </w:endnote>
  <w:endnote w:type="continuationSeparator" w:id="0">
    <w:p w14:paraId="07C352D7" w14:textId="77777777" w:rsidR="00D874A7" w:rsidRDefault="00D874A7"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EF" w:usb1="5000205B" w:usb2="00000020" w:usb3="00000000" w:csb0="0000019F" w:csb1="00000000"/>
  </w:font>
  <w:font w:name="Helvetica Neue Medium">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6EA50634">
          <wp:simplePos x="0" y="0"/>
          <wp:positionH relativeFrom="page">
            <wp:posOffset>409575</wp:posOffset>
          </wp:positionH>
          <wp:positionV relativeFrom="paragraph">
            <wp:posOffset>-391160</wp:posOffset>
          </wp:positionV>
          <wp:extent cx="7149779" cy="89281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7AE18" w14:textId="77777777" w:rsidR="00D874A7" w:rsidRDefault="00D874A7" w:rsidP="00382D07">
      <w:r>
        <w:separator/>
      </w:r>
    </w:p>
  </w:footnote>
  <w:footnote w:type="continuationSeparator" w:id="0">
    <w:p w14:paraId="790029B0" w14:textId="77777777" w:rsidR="00D874A7" w:rsidRDefault="00D874A7"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77777777" w:rsidR="00382D07" w:rsidRDefault="00FF5C4D">
    <w:pPr>
      <w:pStyle w:val="Encabezado"/>
    </w:pPr>
    <w:r>
      <w:rPr>
        <w:noProof/>
      </w:rPr>
      <w:drawing>
        <wp:anchor distT="0" distB="0" distL="114300" distR="114300" simplePos="0" relativeHeight="251658240" behindDoc="0" locked="0" layoutInCell="1" allowOverlap="1" wp14:anchorId="2835E483" wp14:editId="44BC3387">
          <wp:simplePos x="0" y="0"/>
          <wp:positionH relativeFrom="margin">
            <wp:posOffset>96520</wp:posOffset>
          </wp:positionH>
          <wp:positionV relativeFrom="paragraph">
            <wp:posOffset>-200660</wp:posOffset>
          </wp:positionV>
          <wp:extent cx="1454785" cy="65532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45478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F20DA"/>
    <w:multiLevelType w:val="hybridMultilevel"/>
    <w:tmpl w:val="15107C5A"/>
    <w:lvl w:ilvl="0" w:tplc="E83C09B8">
      <w:start w:val="1"/>
      <w:numFmt w:val="bullet"/>
      <w:lvlText w:val=""/>
      <w:lvlJc w:val="left"/>
      <w:pPr>
        <w:tabs>
          <w:tab w:val="num" w:pos="720"/>
        </w:tabs>
        <w:ind w:left="720" w:hanging="360"/>
      </w:pPr>
      <w:rPr>
        <w:rFonts w:ascii="Symbol" w:hAnsi="Symbol" w:hint="default"/>
      </w:rPr>
    </w:lvl>
    <w:lvl w:ilvl="1" w:tplc="3D623920" w:tentative="1">
      <w:start w:val="1"/>
      <w:numFmt w:val="bullet"/>
      <w:lvlText w:val=""/>
      <w:lvlJc w:val="left"/>
      <w:pPr>
        <w:tabs>
          <w:tab w:val="num" w:pos="1440"/>
        </w:tabs>
        <w:ind w:left="1440" w:hanging="360"/>
      </w:pPr>
      <w:rPr>
        <w:rFonts w:ascii="Symbol" w:hAnsi="Symbol" w:hint="default"/>
      </w:rPr>
    </w:lvl>
    <w:lvl w:ilvl="2" w:tplc="FCEA2028" w:tentative="1">
      <w:start w:val="1"/>
      <w:numFmt w:val="bullet"/>
      <w:lvlText w:val=""/>
      <w:lvlJc w:val="left"/>
      <w:pPr>
        <w:tabs>
          <w:tab w:val="num" w:pos="2160"/>
        </w:tabs>
        <w:ind w:left="2160" w:hanging="360"/>
      </w:pPr>
      <w:rPr>
        <w:rFonts w:ascii="Symbol" w:hAnsi="Symbol" w:hint="default"/>
      </w:rPr>
    </w:lvl>
    <w:lvl w:ilvl="3" w:tplc="1110E4BA" w:tentative="1">
      <w:start w:val="1"/>
      <w:numFmt w:val="bullet"/>
      <w:lvlText w:val=""/>
      <w:lvlJc w:val="left"/>
      <w:pPr>
        <w:tabs>
          <w:tab w:val="num" w:pos="2880"/>
        </w:tabs>
        <w:ind w:left="2880" w:hanging="360"/>
      </w:pPr>
      <w:rPr>
        <w:rFonts w:ascii="Symbol" w:hAnsi="Symbol" w:hint="default"/>
      </w:rPr>
    </w:lvl>
    <w:lvl w:ilvl="4" w:tplc="56186D22" w:tentative="1">
      <w:start w:val="1"/>
      <w:numFmt w:val="bullet"/>
      <w:lvlText w:val=""/>
      <w:lvlJc w:val="left"/>
      <w:pPr>
        <w:tabs>
          <w:tab w:val="num" w:pos="3600"/>
        </w:tabs>
        <w:ind w:left="3600" w:hanging="360"/>
      </w:pPr>
      <w:rPr>
        <w:rFonts w:ascii="Symbol" w:hAnsi="Symbol" w:hint="default"/>
      </w:rPr>
    </w:lvl>
    <w:lvl w:ilvl="5" w:tplc="2766C550" w:tentative="1">
      <w:start w:val="1"/>
      <w:numFmt w:val="bullet"/>
      <w:lvlText w:val=""/>
      <w:lvlJc w:val="left"/>
      <w:pPr>
        <w:tabs>
          <w:tab w:val="num" w:pos="4320"/>
        </w:tabs>
        <w:ind w:left="4320" w:hanging="360"/>
      </w:pPr>
      <w:rPr>
        <w:rFonts w:ascii="Symbol" w:hAnsi="Symbol" w:hint="default"/>
      </w:rPr>
    </w:lvl>
    <w:lvl w:ilvl="6" w:tplc="3F502BDC" w:tentative="1">
      <w:start w:val="1"/>
      <w:numFmt w:val="bullet"/>
      <w:lvlText w:val=""/>
      <w:lvlJc w:val="left"/>
      <w:pPr>
        <w:tabs>
          <w:tab w:val="num" w:pos="5040"/>
        </w:tabs>
        <w:ind w:left="5040" w:hanging="360"/>
      </w:pPr>
      <w:rPr>
        <w:rFonts w:ascii="Symbol" w:hAnsi="Symbol" w:hint="default"/>
      </w:rPr>
    </w:lvl>
    <w:lvl w:ilvl="7" w:tplc="10F61CAA" w:tentative="1">
      <w:start w:val="1"/>
      <w:numFmt w:val="bullet"/>
      <w:lvlText w:val=""/>
      <w:lvlJc w:val="left"/>
      <w:pPr>
        <w:tabs>
          <w:tab w:val="num" w:pos="5760"/>
        </w:tabs>
        <w:ind w:left="5760" w:hanging="360"/>
      </w:pPr>
      <w:rPr>
        <w:rFonts w:ascii="Symbol" w:hAnsi="Symbol" w:hint="default"/>
      </w:rPr>
    </w:lvl>
    <w:lvl w:ilvl="8" w:tplc="FE10481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3"/>
  </w:num>
  <w:num w:numId="9">
    <w:abstractNumId w:val="1"/>
  </w:num>
  <w:num w:numId="10">
    <w:abstractNumId w:val="9"/>
  </w:num>
  <w:num w:numId="11">
    <w:abstractNumId w:val="10"/>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27921"/>
    <w:rsid w:val="00033088"/>
    <w:rsid w:val="00053C78"/>
    <w:rsid w:val="00055135"/>
    <w:rsid w:val="00064287"/>
    <w:rsid w:val="000800DF"/>
    <w:rsid w:val="000B5B49"/>
    <w:rsid w:val="000D05C9"/>
    <w:rsid w:val="000D6419"/>
    <w:rsid w:val="000D74DB"/>
    <w:rsid w:val="000F5055"/>
    <w:rsid w:val="001135C2"/>
    <w:rsid w:val="00181AA3"/>
    <w:rsid w:val="00184605"/>
    <w:rsid w:val="00187E6A"/>
    <w:rsid w:val="001A2583"/>
    <w:rsid w:val="001B0B19"/>
    <w:rsid w:val="001C7953"/>
    <w:rsid w:val="001E6A5E"/>
    <w:rsid w:val="001F5F49"/>
    <w:rsid w:val="00201EE6"/>
    <w:rsid w:val="002037C1"/>
    <w:rsid w:val="00217EDD"/>
    <w:rsid w:val="00225C5C"/>
    <w:rsid w:val="0025604F"/>
    <w:rsid w:val="0026790F"/>
    <w:rsid w:val="00273769"/>
    <w:rsid w:val="0029075F"/>
    <w:rsid w:val="0029705D"/>
    <w:rsid w:val="002A5F16"/>
    <w:rsid w:val="002C1344"/>
    <w:rsid w:val="002F4A05"/>
    <w:rsid w:val="002F4B64"/>
    <w:rsid w:val="002F53ED"/>
    <w:rsid w:val="00301CD8"/>
    <w:rsid w:val="00302916"/>
    <w:rsid w:val="0032125D"/>
    <w:rsid w:val="00334592"/>
    <w:rsid w:val="00351972"/>
    <w:rsid w:val="00356933"/>
    <w:rsid w:val="00382D07"/>
    <w:rsid w:val="0038648F"/>
    <w:rsid w:val="0039485B"/>
    <w:rsid w:val="003B2416"/>
    <w:rsid w:val="003D12CD"/>
    <w:rsid w:val="003F0BE6"/>
    <w:rsid w:val="00413C26"/>
    <w:rsid w:val="00441DAE"/>
    <w:rsid w:val="0045044E"/>
    <w:rsid w:val="00454FC7"/>
    <w:rsid w:val="004802BB"/>
    <w:rsid w:val="00484F37"/>
    <w:rsid w:val="004B5F35"/>
    <w:rsid w:val="004C3E1E"/>
    <w:rsid w:val="004E4172"/>
    <w:rsid w:val="00545988"/>
    <w:rsid w:val="00553A3D"/>
    <w:rsid w:val="005613F9"/>
    <w:rsid w:val="00590991"/>
    <w:rsid w:val="0059355B"/>
    <w:rsid w:val="00594033"/>
    <w:rsid w:val="005C2606"/>
    <w:rsid w:val="005E20CB"/>
    <w:rsid w:val="005E2607"/>
    <w:rsid w:val="005F353B"/>
    <w:rsid w:val="005F3D50"/>
    <w:rsid w:val="00627F79"/>
    <w:rsid w:val="00635AA1"/>
    <w:rsid w:val="00640980"/>
    <w:rsid w:val="00652A6B"/>
    <w:rsid w:val="006745EC"/>
    <w:rsid w:val="00685567"/>
    <w:rsid w:val="00687058"/>
    <w:rsid w:val="00687611"/>
    <w:rsid w:val="006B1AF8"/>
    <w:rsid w:val="006C59E3"/>
    <w:rsid w:val="006E0D2D"/>
    <w:rsid w:val="007005E0"/>
    <w:rsid w:val="007069CA"/>
    <w:rsid w:val="0071400F"/>
    <w:rsid w:val="00733E35"/>
    <w:rsid w:val="00752229"/>
    <w:rsid w:val="00770A7D"/>
    <w:rsid w:val="007740D9"/>
    <w:rsid w:val="007769F6"/>
    <w:rsid w:val="00784659"/>
    <w:rsid w:val="007B29EF"/>
    <w:rsid w:val="007B51EC"/>
    <w:rsid w:val="007C7F48"/>
    <w:rsid w:val="007E2D59"/>
    <w:rsid w:val="007E32C6"/>
    <w:rsid w:val="007E3FD9"/>
    <w:rsid w:val="007F14A3"/>
    <w:rsid w:val="00820D1B"/>
    <w:rsid w:val="00821C16"/>
    <w:rsid w:val="00830778"/>
    <w:rsid w:val="00834D1E"/>
    <w:rsid w:val="008457A9"/>
    <w:rsid w:val="0085324E"/>
    <w:rsid w:val="00856987"/>
    <w:rsid w:val="008667F2"/>
    <w:rsid w:val="00893E06"/>
    <w:rsid w:val="008A445E"/>
    <w:rsid w:val="008A67F6"/>
    <w:rsid w:val="008B4333"/>
    <w:rsid w:val="008E0DB7"/>
    <w:rsid w:val="008F5F1F"/>
    <w:rsid w:val="0091553A"/>
    <w:rsid w:val="00925A25"/>
    <w:rsid w:val="00954A04"/>
    <w:rsid w:val="009625DC"/>
    <w:rsid w:val="00965D81"/>
    <w:rsid w:val="009719C0"/>
    <w:rsid w:val="009747BE"/>
    <w:rsid w:val="009879F5"/>
    <w:rsid w:val="00990713"/>
    <w:rsid w:val="009A2CB3"/>
    <w:rsid w:val="009C4358"/>
    <w:rsid w:val="00A07738"/>
    <w:rsid w:val="00A30111"/>
    <w:rsid w:val="00A41351"/>
    <w:rsid w:val="00A442BF"/>
    <w:rsid w:val="00A5051E"/>
    <w:rsid w:val="00A85D60"/>
    <w:rsid w:val="00AA27A7"/>
    <w:rsid w:val="00AB3D0A"/>
    <w:rsid w:val="00AD6889"/>
    <w:rsid w:val="00B5382E"/>
    <w:rsid w:val="00B7091A"/>
    <w:rsid w:val="00B72511"/>
    <w:rsid w:val="00B74D8C"/>
    <w:rsid w:val="00B80746"/>
    <w:rsid w:val="00B81CDF"/>
    <w:rsid w:val="00B9410D"/>
    <w:rsid w:val="00BA7A6B"/>
    <w:rsid w:val="00BD28A2"/>
    <w:rsid w:val="00BD7491"/>
    <w:rsid w:val="00BF3D64"/>
    <w:rsid w:val="00C24C36"/>
    <w:rsid w:val="00C93F66"/>
    <w:rsid w:val="00CB5763"/>
    <w:rsid w:val="00CE21F1"/>
    <w:rsid w:val="00CE4739"/>
    <w:rsid w:val="00CF376B"/>
    <w:rsid w:val="00D016B9"/>
    <w:rsid w:val="00D13F49"/>
    <w:rsid w:val="00D40E4E"/>
    <w:rsid w:val="00D41818"/>
    <w:rsid w:val="00D448C5"/>
    <w:rsid w:val="00D51686"/>
    <w:rsid w:val="00D874A7"/>
    <w:rsid w:val="00D8755D"/>
    <w:rsid w:val="00D9768C"/>
    <w:rsid w:val="00DA3855"/>
    <w:rsid w:val="00DD0234"/>
    <w:rsid w:val="00E10044"/>
    <w:rsid w:val="00E1091D"/>
    <w:rsid w:val="00E16CA7"/>
    <w:rsid w:val="00E3508E"/>
    <w:rsid w:val="00E522C8"/>
    <w:rsid w:val="00E62217"/>
    <w:rsid w:val="00E80671"/>
    <w:rsid w:val="00E9114B"/>
    <w:rsid w:val="00EA089F"/>
    <w:rsid w:val="00EC190B"/>
    <w:rsid w:val="00EC7B50"/>
    <w:rsid w:val="00ED6581"/>
    <w:rsid w:val="00ED77B5"/>
    <w:rsid w:val="00EE4BD4"/>
    <w:rsid w:val="00EE6C49"/>
    <w:rsid w:val="00F06612"/>
    <w:rsid w:val="00F069AC"/>
    <w:rsid w:val="00F10F5E"/>
    <w:rsid w:val="00F30CD0"/>
    <w:rsid w:val="00F33DB3"/>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styleId="Mencinsinresolver">
    <w:name w:val="Unresolved Mention"/>
    <w:basedOn w:val="Fuentedeprrafopredeter"/>
    <w:uiPriority w:val="99"/>
    <w:semiHidden/>
    <w:unhideWhenUsed/>
    <w:rsid w:val="006E0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465322743">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569854187">
      <w:bodyDiv w:val="1"/>
      <w:marLeft w:val="0"/>
      <w:marRight w:val="0"/>
      <w:marTop w:val="0"/>
      <w:marBottom w:val="0"/>
      <w:divBdr>
        <w:top w:val="none" w:sz="0" w:space="0" w:color="auto"/>
        <w:left w:val="none" w:sz="0" w:space="0" w:color="auto"/>
        <w:bottom w:val="none" w:sz="0" w:space="0" w:color="auto"/>
        <w:right w:val="none" w:sz="0" w:space="0" w:color="auto"/>
      </w:divBdr>
    </w:div>
    <w:div w:id="647973562">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009988507">
      <w:bodyDiv w:val="1"/>
      <w:marLeft w:val="0"/>
      <w:marRight w:val="0"/>
      <w:marTop w:val="0"/>
      <w:marBottom w:val="0"/>
      <w:divBdr>
        <w:top w:val="none" w:sz="0" w:space="0" w:color="auto"/>
        <w:left w:val="none" w:sz="0" w:space="0" w:color="auto"/>
        <w:bottom w:val="none" w:sz="0" w:space="0" w:color="auto"/>
        <w:right w:val="none" w:sz="0" w:space="0" w:color="auto"/>
      </w:divBdr>
      <w:divsChild>
        <w:div w:id="1597247657">
          <w:marLeft w:val="547"/>
          <w:marRight w:val="0"/>
          <w:marTop w:val="0"/>
          <w:marBottom w:val="0"/>
          <w:divBdr>
            <w:top w:val="none" w:sz="0" w:space="0" w:color="auto"/>
            <w:left w:val="none" w:sz="0" w:space="0" w:color="auto"/>
            <w:bottom w:val="none" w:sz="0" w:space="0" w:color="auto"/>
            <w:right w:val="none" w:sz="0" w:space="0" w:color="auto"/>
          </w:divBdr>
        </w:div>
      </w:divsChild>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673482854">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lalamo@romanr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webSettings" Target="web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1000</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Carmen del Alamo</cp:lastModifiedBy>
  <cp:revision>6</cp:revision>
  <cp:lastPrinted>2018-03-26T14:50:00Z</cp:lastPrinted>
  <dcterms:created xsi:type="dcterms:W3CDTF">2019-06-11T11:07:00Z</dcterms:created>
  <dcterms:modified xsi:type="dcterms:W3CDTF">2019-06-17T11:16:00Z</dcterms:modified>
</cp:coreProperties>
</file>