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B7" w:rsidRDefault="00780731" w:rsidP="007E7EB7">
      <w:pPr>
        <w:rPr>
          <w:rFonts w:ascii="Verdana" w:hAnsi="Verdana"/>
          <w:i/>
          <w:color w:val="404040" w:themeColor="text1" w:themeTint="BF"/>
          <w:sz w:val="18"/>
          <w:szCs w:val="18"/>
        </w:rPr>
      </w:pPr>
      <w:r>
        <w:rPr>
          <w:rFonts w:ascii="Verdana" w:hAnsi="Verdana"/>
          <w:i/>
          <w:color w:val="404040" w:themeColor="text1" w:themeTint="BF"/>
          <w:sz w:val="18"/>
          <w:szCs w:val="18"/>
        </w:rPr>
        <w:t>13</w:t>
      </w:r>
      <w:bookmarkStart w:id="0" w:name="_GoBack"/>
      <w:bookmarkEnd w:id="0"/>
      <w:r w:rsidR="00767ABA">
        <w:rPr>
          <w:rFonts w:ascii="Verdana" w:hAnsi="Verdana"/>
          <w:i/>
          <w:color w:val="404040" w:themeColor="text1" w:themeTint="BF"/>
          <w:sz w:val="18"/>
          <w:szCs w:val="18"/>
        </w:rPr>
        <w:t>/0</w:t>
      </w:r>
      <w:r w:rsidR="00AB6EE7">
        <w:rPr>
          <w:rFonts w:ascii="Verdana" w:hAnsi="Verdana"/>
          <w:i/>
          <w:color w:val="404040" w:themeColor="text1" w:themeTint="BF"/>
          <w:sz w:val="18"/>
          <w:szCs w:val="18"/>
        </w:rPr>
        <w:t>7</w:t>
      </w:r>
      <w:r w:rsidR="00767ABA">
        <w:rPr>
          <w:rFonts w:ascii="Verdana" w:hAnsi="Verdana"/>
          <w:i/>
          <w:color w:val="404040" w:themeColor="text1" w:themeTint="BF"/>
          <w:sz w:val="18"/>
          <w:szCs w:val="18"/>
        </w:rPr>
        <w:t>/2016</w:t>
      </w:r>
    </w:p>
    <w:p w:rsidR="00E42173" w:rsidRDefault="00E42173" w:rsidP="007E7EB7">
      <w:pPr>
        <w:rPr>
          <w:rFonts w:ascii="Verdana" w:hAnsi="Verdana"/>
          <w:i/>
          <w:color w:val="404040" w:themeColor="text1" w:themeTint="BF"/>
          <w:sz w:val="18"/>
          <w:szCs w:val="18"/>
        </w:rPr>
      </w:pPr>
    </w:p>
    <w:p w:rsidR="005C377D" w:rsidRPr="00685FC1" w:rsidRDefault="00685FC1" w:rsidP="00780731">
      <w:pPr>
        <w:jc w:val="both"/>
        <w:rPr>
          <w:rFonts w:ascii="Verdana" w:hAnsi="Verdana"/>
          <w:b/>
          <w:bCs/>
          <w:color w:val="996633"/>
        </w:rPr>
      </w:pPr>
      <w:r w:rsidRPr="00685FC1">
        <w:rPr>
          <w:rFonts w:ascii="Verdana" w:hAnsi="Verdana"/>
          <w:b/>
          <w:bCs/>
          <w:color w:val="996633"/>
        </w:rPr>
        <w:t xml:space="preserve">Continúa la recuperación del sector de </w:t>
      </w:r>
      <w:r>
        <w:rPr>
          <w:rFonts w:ascii="Verdana" w:hAnsi="Verdana"/>
          <w:b/>
          <w:bCs/>
          <w:color w:val="996633"/>
        </w:rPr>
        <w:t xml:space="preserve">las </w:t>
      </w:r>
      <w:r w:rsidRPr="00685FC1">
        <w:rPr>
          <w:rFonts w:ascii="Verdana" w:hAnsi="Verdana"/>
          <w:b/>
          <w:bCs/>
          <w:color w:val="996633"/>
        </w:rPr>
        <w:t>Tecnologías de la Información (TI) al registrase un segundo año con resultados positivos</w:t>
      </w:r>
    </w:p>
    <w:p w:rsidR="00685FC1" w:rsidRPr="00685FC1" w:rsidRDefault="00685FC1" w:rsidP="00403859">
      <w:pPr>
        <w:rPr>
          <w:rFonts w:ascii="Verdana" w:hAnsi="Verdana"/>
          <w:b/>
          <w:bCs/>
          <w:color w:val="996633"/>
        </w:rPr>
      </w:pPr>
    </w:p>
    <w:p w:rsidR="005615D2" w:rsidRPr="00403859" w:rsidRDefault="005C377D" w:rsidP="00403859">
      <w:pPr>
        <w:jc w:val="center"/>
        <w:rPr>
          <w:rFonts w:ascii="Verdana" w:hAnsi="Verdana"/>
          <w:b/>
          <w:color w:val="996633"/>
          <w:sz w:val="36"/>
          <w:szCs w:val="36"/>
        </w:rPr>
      </w:pPr>
      <w:r>
        <w:rPr>
          <w:rFonts w:ascii="Verdana" w:hAnsi="Verdana"/>
          <w:b/>
          <w:color w:val="996633"/>
          <w:sz w:val="36"/>
          <w:szCs w:val="36"/>
        </w:rPr>
        <w:t>Crecen todos los segmentos hasta arrojar un dato conjunto de un 7% de incremento</w:t>
      </w:r>
    </w:p>
    <w:p w:rsidR="00403859" w:rsidRPr="00403859" w:rsidRDefault="00403859" w:rsidP="00403859">
      <w:pPr>
        <w:rPr>
          <w:color w:val="996633"/>
        </w:rPr>
      </w:pPr>
    </w:p>
    <w:p w:rsidR="00C300CB" w:rsidRPr="00C300CB" w:rsidRDefault="00C300CB" w:rsidP="00CA3C14">
      <w:pPr>
        <w:pStyle w:val="Prrafodelista"/>
        <w:numPr>
          <w:ilvl w:val="0"/>
          <w:numId w:val="1"/>
        </w:numPr>
        <w:jc w:val="both"/>
        <w:rPr>
          <w:rFonts w:ascii="Verdana" w:hAnsi="Verdana"/>
          <w:b/>
          <w:color w:val="996633"/>
          <w:sz w:val="22"/>
          <w:szCs w:val="22"/>
        </w:rPr>
      </w:pPr>
      <w:r w:rsidRPr="00C300CB">
        <w:rPr>
          <w:rFonts w:ascii="Verdana" w:hAnsi="Verdana"/>
          <w:b/>
          <w:color w:val="996633"/>
          <w:sz w:val="22"/>
          <w:szCs w:val="22"/>
        </w:rPr>
        <w:t>La cifra de ne</w:t>
      </w:r>
      <w:r w:rsidR="00EC7F71">
        <w:rPr>
          <w:rFonts w:ascii="Verdana" w:hAnsi="Verdana"/>
          <w:b/>
          <w:color w:val="996633"/>
          <w:sz w:val="22"/>
          <w:szCs w:val="22"/>
        </w:rPr>
        <w:t>gocio TI en 2015 se acerca a los 23.000</w:t>
      </w:r>
      <w:r w:rsidRPr="00C300CB">
        <w:rPr>
          <w:rFonts w:ascii="Verdana" w:hAnsi="Verdana"/>
          <w:b/>
          <w:color w:val="996633"/>
          <w:sz w:val="22"/>
          <w:szCs w:val="22"/>
        </w:rPr>
        <w:t xml:space="preserve"> millones de euros.</w:t>
      </w:r>
    </w:p>
    <w:p w:rsidR="00C300CB" w:rsidRPr="00C300CB" w:rsidRDefault="00C300CB" w:rsidP="00C300CB">
      <w:pPr>
        <w:jc w:val="both"/>
        <w:rPr>
          <w:rFonts w:ascii="Verdana" w:hAnsi="Verdana"/>
          <w:b/>
          <w:color w:val="996633"/>
          <w:sz w:val="22"/>
          <w:szCs w:val="22"/>
        </w:rPr>
      </w:pPr>
    </w:p>
    <w:p w:rsidR="00C300CB" w:rsidRPr="00C300CB" w:rsidRDefault="00AB6EE7" w:rsidP="00CA3C14">
      <w:pPr>
        <w:pStyle w:val="Prrafodelista"/>
        <w:numPr>
          <w:ilvl w:val="0"/>
          <w:numId w:val="1"/>
        </w:numPr>
        <w:jc w:val="both"/>
        <w:rPr>
          <w:rFonts w:ascii="Verdana" w:hAnsi="Verdana"/>
          <w:b/>
          <w:color w:val="996633"/>
          <w:sz w:val="22"/>
          <w:szCs w:val="22"/>
        </w:rPr>
      </w:pPr>
      <w:r>
        <w:rPr>
          <w:rFonts w:ascii="Verdana" w:hAnsi="Verdana" w:cs="Arial"/>
          <w:b/>
          <w:color w:val="996633"/>
          <w:sz w:val="22"/>
          <w:szCs w:val="22"/>
        </w:rPr>
        <w:t>L</w:t>
      </w:r>
      <w:r w:rsidR="00C300CB" w:rsidRPr="00C300CB">
        <w:rPr>
          <w:rFonts w:ascii="Verdana" w:hAnsi="Verdana" w:cs="Arial"/>
          <w:b/>
          <w:color w:val="996633"/>
          <w:sz w:val="22"/>
          <w:szCs w:val="22"/>
        </w:rPr>
        <w:t>a necesidad de renovar el parq</w:t>
      </w:r>
      <w:r>
        <w:rPr>
          <w:rFonts w:ascii="Verdana" w:hAnsi="Verdana" w:cs="Arial"/>
          <w:b/>
          <w:color w:val="996633"/>
          <w:sz w:val="22"/>
          <w:szCs w:val="22"/>
        </w:rPr>
        <w:t xml:space="preserve">ue tecnológico de las empresas, </w:t>
      </w:r>
      <w:r w:rsidR="00C300CB" w:rsidRPr="00C300CB">
        <w:rPr>
          <w:rFonts w:ascii="Verdana" w:hAnsi="Verdana" w:cs="Arial"/>
          <w:b/>
          <w:color w:val="996633"/>
          <w:sz w:val="22"/>
          <w:szCs w:val="22"/>
        </w:rPr>
        <w:t xml:space="preserve">las iniciativas de movilidad y la evolución a servicios basados en </w:t>
      </w:r>
      <w:proofErr w:type="spellStart"/>
      <w:r w:rsidR="00C300CB" w:rsidRPr="00EC7F71">
        <w:rPr>
          <w:rFonts w:ascii="Verdana" w:hAnsi="Verdana" w:cs="Arial"/>
          <w:b/>
          <w:i/>
          <w:color w:val="996633"/>
          <w:sz w:val="22"/>
          <w:szCs w:val="22"/>
        </w:rPr>
        <w:t>cloud</w:t>
      </w:r>
      <w:proofErr w:type="spellEnd"/>
      <w:r w:rsidR="00C300CB" w:rsidRPr="00C300CB">
        <w:rPr>
          <w:rFonts w:ascii="Verdana" w:hAnsi="Verdana" w:cs="Arial"/>
          <w:b/>
          <w:color w:val="996633"/>
          <w:sz w:val="22"/>
          <w:szCs w:val="22"/>
        </w:rPr>
        <w:t xml:space="preserve"> </w:t>
      </w:r>
      <w:r>
        <w:rPr>
          <w:rFonts w:ascii="Verdana" w:hAnsi="Verdana" w:cs="Arial"/>
          <w:b/>
          <w:color w:val="996633"/>
          <w:sz w:val="22"/>
          <w:szCs w:val="22"/>
        </w:rPr>
        <w:t xml:space="preserve">entre las causas </w:t>
      </w:r>
      <w:r w:rsidR="00C300CB" w:rsidRPr="00C300CB">
        <w:rPr>
          <w:rFonts w:ascii="Verdana" w:hAnsi="Verdana" w:cs="Arial"/>
          <w:b/>
          <w:color w:val="996633"/>
          <w:sz w:val="22"/>
          <w:szCs w:val="22"/>
        </w:rPr>
        <w:t>del repunte.</w:t>
      </w:r>
    </w:p>
    <w:p w:rsidR="00C300CB" w:rsidRPr="00C300CB" w:rsidRDefault="00C300CB" w:rsidP="00C300CB">
      <w:pPr>
        <w:jc w:val="both"/>
        <w:rPr>
          <w:rFonts w:ascii="Verdana" w:hAnsi="Verdana"/>
          <w:b/>
          <w:color w:val="996633"/>
          <w:sz w:val="22"/>
          <w:szCs w:val="22"/>
        </w:rPr>
      </w:pPr>
    </w:p>
    <w:p w:rsidR="00403859" w:rsidRPr="00C300CB" w:rsidRDefault="00C300CB" w:rsidP="00CA3C14">
      <w:pPr>
        <w:pStyle w:val="Prrafodelista"/>
        <w:numPr>
          <w:ilvl w:val="0"/>
          <w:numId w:val="1"/>
        </w:numPr>
        <w:jc w:val="both"/>
        <w:rPr>
          <w:rFonts w:ascii="Verdana" w:hAnsi="Verdana"/>
          <w:b/>
          <w:color w:val="996633"/>
          <w:sz w:val="22"/>
          <w:szCs w:val="22"/>
        </w:rPr>
      </w:pPr>
      <w:r w:rsidRPr="00C300CB">
        <w:rPr>
          <w:rFonts w:ascii="Verdana" w:hAnsi="Verdana" w:cs="Arial"/>
          <w:b/>
          <w:color w:val="996633"/>
          <w:sz w:val="22"/>
          <w:szCs w:val="22"/>
        </w:rPr>
        <w:t xml:space="preserve">La mayor inversión TI en el periodo ha procedido de </w:t>
      </w:r>
      <w:r w:rsidR="00AB6EE7">
        <w:rPr>
          <w:rFonts w:ascii="Verdana" w:hAnsi="Verdana" w:cs="Arial"/>
          <w:b/>
          <w:color w:val="996633"/>
          <w:sz w:val="22"/>
          <w:szCs w:val="22"/>
        </w:rPr>
        <w:t xml:space="preserve">las medianas y grandes empresas; mientras que </w:t>
      </w:r>
      <w:r w:rsidRPr="00C300CB">
        <w:rPr>
          <w:rFonts w:ascii="Verdana" w:hAnsi="Verdana" w:cs="Arial"/>
          <w:b/>
          <w:color w:val="996633"/>
          <w:sz w:val="22"/>
          <w:szCs w:val="22"/>
        </w:rPr>
        <w:t xml:space="preserve">el sector público ha </w:t>
      </w:r>
      <w:r w:rsidR="00AB6EE7">
        <w:rPr>
          <w:rFonts w:ascii="Verdana" w:hAnsi="Verdana" w:cs="Arial"/>
          <w:b/>
          <w:color w:val="996633"/>
          <w:sz w:val="22"/>
          <w:szCs w:val="22"/>
        </w:rPr>
        <w:t>a</w:t>
      </w:r>
      <w:r w:rsidRPr="00C300CB">
        <w:rPr>
          <w:rFonts w:ascii="Verdana" w:hAnsi="Verdana" w:cs="Arial"/>
          <w:b/>
          <w:color w:val="996633"/>
          <w:sz w:val="22"/>
          <w:szCs w:val="22"/>
        </w:rPr>
        <w:t xml:space="preserve">dolecido de una cierta </w:t>
      </w:r>
      <w:r w:rsidR="004F110D">
        <w:rPr>
          <w:rFonts w:ascii="Verdana" w:hAnsi="Verdana" w:cs="Arial"/>
          <w:b/>
          <w:color w:val="996633"/>
          <w:sz w:val="22"/>
          <w:szCs w:val="22"/>
        </w:rPr>
        <w:t>pará</w:t>
      </w:r>
      <w:r w:rsidR="00AB6EE7">
        <w:rPr>
          <w:rFonts w:ascii="Verdana" w:hAnsi="Verdana" w:cs="Arial"/>
          <w:b/>
          <w:color w:val="996633"/>
          <w:sz w:val="22"/>
          <w:szCs w:val="22"/>
        </w:rPr>
        <w:t>lisis.</w:t>
      </w:r>
    </w:p>
    <w:p w:rsidR="00AB6EE7" w:rsidRPr="00AB6EE7" w:rsidRDefault="00AB6EE7" w:rsidP="00AB6EE7">
      <w:pPr>
        <w:pStyle w:val="Prrafodelista"/>
        <w:shd w:val="clear" w:color="auto" w:fill="FFFFFF"/>
        <w:spacing w:before="100" w:beforeAutospacing="1"/>
        <w:jc w:val="both"/>
        <w:rPr>
          <w:rFonts w:ascii="Verdana" w:hAnsi="Verdana" w:cs="Arial"/>
          <w:color w:val="002060"/>
          <w:sz w:val="22"/>
          <w:szCs w:val="22"/>
        </w:rPr>
      </w:pPr>
    </w:p>
    <w:p w:rsidR="00AB6EE7" w:rsidRPr="00AB6EE7" w:rsidRDefault="00C300CB" w:rsidP="00CA3C14">
      <w:pPr>
        <w:pStyle w:val="Prrafodelista"/>
        <w:numPr>
          <w:ilvl w:val="0"/>
          <w:numId w:val="1"/>
        </w:numPr>
        <w:shd w:val="clear" w:color="auto" w:fill="FFFFFF"/>
        <w:spacing w:before="100" w:beforeAutospacing="1"/>
        <w:jc w:val="both"/>
        <w:rPr>
          <w:rFonts w:ascii="Verdana" w:hAnsi="Verdana" w:cs="Arial"/>
          <w:color w:val="002060"/>
          <w:sz w:val="22"/>
          <w:szCs w:val="22"/>
        </w:rPr>
      </w:pPr>
      <w:r w:rsidRPr="00AB6EE7">
        <w:rPr>
          <w:rFonts w:ascii="Verdana" w:hAnsi="Verdana" w:cs="Arial"/>
          <w:b/>
          <w:color w:val="996633"/>
          <w:sz w:val="22"/>
          <w:szCs w:val="22"/>
        </w:rPr>
        <w:t>Se destaca la necesidad de que la Administración juegue un papel  más relevante en este crecimiento, tanto como inversor TI como dinamizador  impulsando el desarrollo de la sociedad digital y contribuyendo a que esta aceleración continúe.</w:t>
      </w:r>
    </w:p>
    <w:p w:rsidR="00AB6EE7" w:rsidRPr="00AB6EE7" w:rsidRDefault="00AB6EE7" w:rsidP="00AB6EE7">
      <w:pPr>
        <w:pStyle w:val="Prrafodelista"/>
        <w:rPr>
          <w:rFonts w:ascii="Verdana" w:hAnsi="Verdana" w:cs="Arial"/>
          <w:b/>
          <w:color w:val="996633"/>
          <w:sz w:val="22"/>
          <w:szCs w:val="22"/>
        </w:rPr>
      </w:pPr>
    </w:p>
    <w:p w:rsidR="00C300CB" w:rsidRDefault="00C300CB" w:rsidP="00CA3C14">
      <w:pPr>
        <w:pStyle w:val="Prrafodelista"/>
        <w:numPr>
          <w:ilvl w:val="0"/>
          <w:numId w:val="1"/>
        </w:numPr>
        <w:shd w:val="clear" w:color="auto" w:fill="FFFFFF"/>
        <w:spacing w:before="100" w:beforeAutospacing="1"/>
        <w:jc w:val="both"/>
        <w:rPr>
          <w:rFonts w:ascii="Verdana" w:hAnsi="Verdana" w:cs="Arial"/>
          <w:color w:val="002060"/>
          <w:sz w:val="22"/>
          <w:szCs w:val="22"/>
        </w:rPr>
      </w:pPr>
      <w:r w:rsidRPr="00AB6EE7">
        <w:rPr>
          <w:rFonts w:ascii="Verdana" w:hAnsi="Verdana" w:cs="Arial"/>
          <w:b/>
          <w:color w:val="996633"/>
          <w:sz w:val="22"/>
          <w:szCs w:val="22"/>
        </w:rPr>
        <w:t>La transformación digital está en la agenda de las principales empresas como una de sus principales prioridades</w:t>
      </w:r>
      <w:r w:rsidRPr="00AB6EE7">
        <w:rPr>
          <w:rFonts w:ascii="Verdana" w:hAnsi="Verdana" w:cs="Arial"/>
          <w:color w:val="002060"/>
          <w:sz w:val="22"/>
          <w:szCs w:val="22"/>
        </w:rPr>
        <w:t>.</w:t>
      </w:r>
    </w:p>
    <w:p w:rsidR="00CA3C14" w:rsidRPr="00CA3C14" w:rsidRDefault="00CA3C14" w:rsidP="00CA3C14">
      <w:pPr>
        <w:pStyle w:val="Prrafodelista"/>
        <w:rPr>
          <w:rFonts w:ascii="Verdana" w:hAnsi="Verdana" w:cs="Arial"/>
          <w:color w:val="002060"/>
          <w:sz w:val="22"/>
          <w:szCs w:val="22"/>
        </w:rPr>
      </w:pPr>
    </w:p>
    <w:p w:rsidR="00CA3C14" w:rsidRPr="00CA3C14" w:rsidRDefault="00CA3C14" w:rsidP="00CA3C14">
      <w:pPr>
        <w:pStyle w:val="Prrafodelista"/>
        <w:numPr>
          <w:ilvl w:val="0"/>
          <w:numId w:val="1"/>
        </w:numPr>
        <w:shd w:val="clear" w:color="auto" w:fill="FFFFFF"/>
        <w:spacing w:before="100" w:beforeAutospacing="1"/>
        <w:jc w:val="both"/>
        <w:rPr>
          <w:rFonts w:ascii="Verdana" w:hAnsi="Verdana" w:cs="Arial"/>
          <w:b/>
          <w:color w:val="996633"/>
          <w:sz w:val="22"/>
          <w:szCs w:val="22"/>
        </w:rPr>
      </w:pPr>
      <w:r w:rsidRPr="00CA3C14">
        <w:rPr>
          <w:rFonts w:ascii="Verdana" w:hAnsi="Verdana" w:cs="Arial"/>
          <w:b/>
          <w:color w:val="996633"/>
          <w:sz w:val="22"/>
          <w:szCs w:val="22"/>
        </w:rPr>
        <w:t xml:space="preserve">El empleo aumentó en el sector </w:t>
      </w:r>
      <w:r w:rsidR="00413645">
        <w:rPr>
          <w:rFonts w:ascii="Verdana" w:hAnsi="Verdana" w:cs="Arial"/>
          <w:b/>
          <w:color w:val="996633"/>
          <w:sz w:val="22"/>
          <w:szCs w:val="22"/>
        </w:rPr>
        <w:t xml:space="preserve">TI </w:t>
      </w:r>
      <w:r w:rsidRPr="00CA3C14">
        <w:rPr>
          <w:rFonts w:ascii="Verdana" w:hAnsi="Verdana" w:cs="Arial"/>
          <w:b/>
          <w:color w:val="996633"/>
          <w:sz w:val="22"/>
          <w:szCs w:val="22"/>
        </w:rPr>
        <w:t>en 1,8%.</w:t>
      </w:r>
    </w:p>
    <w:p w:rsidR="00C300CB" w:rsidRPr="00C300CB" w:rsidRDefault="00C300CB" w:rsidP="00AB6EE7">
      <w:pPr>
        <w:pStyle w:val="Prrafodelista"/>
        <w:jc w:val="both"/>
        <w:rPr>
          <w:rFonts w:ascii="Webdings" w:hAnsi="Webdings"/>
          <w:color w:val="FF0000"/>
        </w:rPr>
      </w:pPr>
    </w:p>
    <w:p w:rsidR="00AB6EE7" w:rsidRPr="007D5094" w:rsidRDefault="002A7240" w:rsidP="007D5094">
      <w:pPr>
        <w:jc w:val="both"/>
        <w:rPr>
          <w:rFonts w:ascii="Verdana" w:hAnsi="Verdana"/>
          <w:color w:val="000000" w:themeColor="text1"/>
          <w:sz w:val="20"/>
          <w:szCs w:val="20"/>
          <w:shd w:val="clear" w:color="auto" w:fill="FFFFFF"/>
        </w:rPr>
      </w:pPr>
      <w:r w:rsidRPr="007D5094">
        <w:rPr>
          <w:rFonts w:ascii="Verdana" w:hAnsi="Verdana"/>
          <w:color w:val="000000" w:themeColor="text1"/>
          <w:sz w:val="20"/>
          <w:szCs w:val="20"/>
          <w:shd w:val="clear" w:color="auto" w:fill="FFFFFF"/>
        </w:rPr>
        <w:t xml:space="preserve">El sector de Tecnologías de la Información (TI) en España ha crecido por segundo año consecutivo hasta alcanzar un 7% de incremento en 2015. </w:t>
      </w:r>
      <w:r w:rsidR="00063387" w:rsidRPr="007D5094">
        <w:rPr>
          <w:rFonts w:ascii="Verdana" w:hAnsi="Verdana"/>
          <w:color w:val="000000" w:themeColor="text1"/>
          <w:sz w:val="20"/>
          <w:szCs w:val="20"/>
          <w:shd w:val="clear" w:color="auto" w:fill="FFFFFF"/>
        </w:rPr>
        <w:t>E</w:t>
      </w:r>
      <w:r w:rsidR="00AB6EE7" w:rsidRPr="007D5094">
        <w:rPr>
          <w:rFonts w:ascii="Verdana" w:hAnsi="Verdana"/>
          <w:color w:val="000000" w:themeColor="text1"/>
          <w:sz w:val="20"/>
          <w:szCs w:val="20"/>
          <w:shd w:val="clear" w:color="auto" w:fill="FFFFFF"/>
        </w:rPr>
        <w:t xml:space="preserve">stos son los datos que ha hecho público </w:t>
      </w:r>
      <w:r w:rsidR="005C377D" w:rsidRPr="007D5094">
        <w:rPr>
          <w:rFonts w:ascii="Verdana" w:hAnsi="Verdana"/>
          <w:color w:val="000000" w:themeColor="text1"/>
          <w:sz w:val="20"/>
          <w:szCs w:val="20"/>
          <w:shd w:val="clear" w:color="auto" w:fill="FFFFFF"/>
        </w:rPr>
        <w:t>AMETIC, Asociación Multisectorial de Empresas de la Electrónica, las Tecnologías de la Información y Comunicación, de las Telecomunicaciones y de los Contenidos</w:t>
      </w:r>
      <w:r w:rsidR="005C377D" w:rsidRPr="007D5094">
        <w:rPr>
          <w:rStyle w:val="apple-converted-space"/>
          <w:rFonts w:ascii="Verdana" w:hAnsi="Verdana"/>
          <w:color w:val="000000" w:themeColor="text1"/>
          <w:sz w:val="20"/>
          <w:szCs w:val="20"/>
          <w:shd w:val="clear" w:color="auto" w:fill="FFFFFF"/>
        </w:rPr>
        <w:t xml:space="preserve"> </w:t>
      </w:r>
      <w:r w:rsidR="005C377D" w:rsidRPr="007D5094">
        <w:rPr>
          <w:rFonts w:ascii="Verdana" w:hAnsi="Verdana"/>
          <w:color w:val="000000" w:themeColor="text1"/>
          <w:sz w:val="20"/>
          <w:szCs w:val="20"/>
          <w:shd w:val="clear" w:color="auto" w:fill="FFFFFF"/>
        </w:rPr>
        <w:t>Digitales</w:t>
      </w:r>
      <w:r w:rsidR="00AB6EE7" w:rsidRPr="007D5094">
        <w:rPr>
          <w:rFonts w:ascii="Verdana" w:hAnsi="Verdana"/>
          <w:color w:val="000000" w:themeColor="text1"/>
          <w:sz w:val="20"/>
          <w:szCs w:val="20"/>
          <w:shd w:val="clear" w:color="auto" w:fill="FFFFFF"/>
        </w:rPr>
        <w:t>, donde también atribuye</w:t>
      </w:r>
      <w:r w:rsidR="00063387" w:rsidRPr="007D5094">
        <w:rPr>
          <w:rFonts w:ascii="Verdana" w:hAnsi="Verdana"/>
          <w:color w:val="000000" w:themeColor="text1"/>
          <w:sz w:val="20"/>
          <w:szCs w:val="20"/>
          <w:shd w:val="clear" w:color="auto" w:fill="FFFFFF"/>
        </w:rPr>
        <w:t xml:space="preserve"> a las TI</w:t>
      </w:r>
      <w:r w:rsidR="00AB6EE7" w:rsidRPr="007D5094">
        <w:rPr>
          <w:rFonts w:ascii="Verdana" w:hAnsi="Verdana"/>
          <w:color w:val="000000" w:themeColor="text1"/>
          <w:sz w:val="20"/>
          <w:szCs w:val="20"/>
          <w:shd w:val="clear" w:color="auto" w:fill="FFFFFF"/>
        </w:rPr>
        <w:t xml:space="preserve"> una cifra de negocio en el periodo de 22.694 millo</w:t>
      </w:r>
      <w:r w:rsidR="00063387" w:rsidRPr="007D5094">
        <w:rPr>
          <w:rFonts w:ascii="Verdana" w:hAnsi="Verdana"/>
          <w:color w:val="000000" w:themeColor="text1"/>
          <w:sz w:val="20"/>
          <w:szCs w:val="20"/>
          <w:shd w:val="clear" w:color="auto" w:fill="FFFFFF"/>
        </w:rPr>
        <w:t>nes de euros. Por segmentos, el hardware creció un 7,3%, un 3,4% lo hizo el software; mientras que</w:t>
      </w:r>
      <w:r w:rsidR="00AB6EE7" w:rsidRPr="007D5094">
        <w:rPr>
          <w:rFonts w:ascii="Verdana" w:hAnsi="Verdana"/>
          <w:color w:val="000000" w:themeColor="text1"/>
          <w:sz w:val="20"/>
          <w:szCs w:val="20"/>
          <w:shd w:val="clear" w:color="auto" w:fill="FFFFFF"/>
        </w:rPr>
        <w:t xml:space="preserve"> lo servicios TI se incrementaron en un 7,4. En el volumen de </w:t>
      </w:r>
      <w:r w:rsidRPr="007D5094">
        <w:rPr>
          <w:rFonts w:ascii="Verdana" w:hAnsi="Verdana"/>
          <w:color w:val="000000" w:themeColor="text1"/>
          <w:sz w:val="20"/>
          <w:szCs w:val="20"/>
          <w:shd w:val="clear" w:color="auto" w:fill="FFFFFF"/>
        </w:rPr>
        <w:t>facturación</w:t>
      </w:r>
      <w:r w:rsidR="00EC7F71">
        <w:rPr>
          <w:rFonts w:ascii="Verdana" w:hAnsi="Verdana"/>
          <w:color w:val="000000" w:themeColor="text1"/>
          <w:sz w:val="20"/>
          <w:szCs w:val="20"/>
          <w:shd w:val="clear" w:color="auto" w:fill="FFFFFF"/>
        </w:rPr>
        <w:t xml:space="preserve"> s</w:t>
      </w:r>
      <w:r w:rsidR="00AB6EE7" w:rsidRPr="007D5094">
        <w:rPr>
          <w:rFonts w:ascii="Verdana" w:hAnsi="Verdana"/>
          <w:color w:val="000000" w:themeColor="text1"/>
          <w:sz w:val="20"/>
          <w:szCs w:val="20"/>
          <w:shd w:val="clear" w:color="auto" w:fill="FFFFFF"/>
        </w:rPr>
        <w:t>e</w:t>
      </w:r>
      <w:r w:rsidR="00EC7F71">
        <w:rPr>
          <w:rFonts w:ascii="Verdana" w:hAnsi="Verdana"/>
          <w:color w:val="000000" w:themeColor="text1"/>
          <w:sz w:val="20"/>
          <w:szCs w:val="20"/>
          <w:shd w:val="clear" w:color="auto" w:fill="FFFFFF"/>
        </w:rPr>
        <w:t xml:space="preserve"> </w:t>
      </w:r>
      <w:r w:rsidR="00AB6EE7" w:rsidRPr="007D5094">
        <w:rPr>
          <w:rFonts w:ascii="Verdana" w:hAnsi="Verdana"/>
          <w:color w:val="000000" w:themeColor="text1"/>
          <w:sz w:val="20"/>
          <w:szCs w:val="20"/>
          <w:shd w:val="clear" w:color="auto" w:fill="FFFFFF"/>
        </w:rPr>
        <w:t>atribuyen 4.534 millones de euros al hardware</w:t>
      </w:r>
      <w:r w:rsidR="00CA3C14" w:rsidRPr="007D5094">
        <w:rPr>
          <w:rFonts w:ascii="Verdana" w:hAnsi="Verdana"/>
          <w:color w:val="000000" w:themeColor="text1"/>
          <w:sz w:val="20"/>
          <w:szCs w:val="20"/>
          <w:shd w:val="clear" w:color="auto" w:fill="FFFFFF"/>
        </w:rPr>
        <w:t xml:space="preserve">; </w:t>
      </w:r>
      <w:r w:rsidR="00CA3C14" w:rsidRPr="007D5094">
        <w:rPr>
          <w:rFonts w:ascii="Verdana" w:hAnsi="Verdana"/>
          <w:color w:val="000000" w:themeColor="text1"/>
          <w:sz w:val="20"/>
          <w:szCs w:val="20"/>
        </w:rPr>
        <w:t>2.992 millones de euros, al software; y 15.168 millones de euros a los servicios. Por su parte, el empleo en el sector aumentó en un 1,8 %.</w:t>
      </w:r>
    </w:p>
    <w:p w:rsidR="005C377D" w:rsidRPr="007D5094" w:rsidRDefault="005C377D" w:rsidP="007D5094">
      <w:pPr>
        <w:jc w:val="both"/>
        <w:rPr>
          <w:rFonts w:ascii="Verdana" w:hAnsi="Verdana"/>
          <w:color w:val="000000" w:themeColor="text1"/>
          <w:sz w:val="20"/>
          <w:szCs w:val="20"/>
        </w:rPr>
      </w:pPr>
      <w:r w:rsidRPr="007D5094">
        <w:rPr>
          <w:rFonts w:ascii="Verdana" w:hAnsi="Verdana"/>
          <w:color w:val="000000" w:themeColor="text1"/>
          <w:sz w:val="20"/>
          <w:szCs w:val="20"/>
        </w:rPr>
        <w:t> </w:t>
      </w:r>
    </w:p>
    <w:p w:rsidR="005C377D" w:rsidRPr="007D5094" w:rsidRDefault="002A7240" w:rsidP="007D5094">
      <w:pPr>
        <w:jc w:val="both"/>
        <w:rPr>
          <w:rFonts w:ascii="Verdana" w:hAnsi="Verdana" w:cs="Arial"/>
          <w:color w:val="000000" w:themeColor="text1"/>
          <w:sz w:val="20"/>
          <w:szCs w:val="20"/>
        </w:rPr>
      </w:pPr>
      <w:r w:rsidRPr="007D5094">
        <w:rPr>
          <w:rFonts w:ascii="Verdana" w:hAnsi="Verdana"/>
          <w:bCs/>
          <w:color w:val="000000" w:themeColor="text1"/>
          <w:sz w:val="20"/>
          <w:szCs w:val="20"/>
        </w:rPr>
        <w:t xml:space="preserve">AMETIC encuentra las causas fundamentales de este crecimiento en </w:t>
      </w:r>
      <w:r w:rsidRPr="007D5094">
        <w:rPr>
          <w:rFonts w:ascii="Verdana" w:hAnsi="Verdana" w:cs="Arial"/>
          <w:color w:val="000000" w:themeColor="text1"/>
          <w:sz w:val="20"/>
          <w:szCs w:val="20"/>
        </w:rPr>
        <w:t xml:space="preserve">la necesidad de renovar el parque tecnológico de las empresas, las iniciativas de movilidad y la evolución a servicios basados en </w:t>
      </w:r>
      <w:proofErr w:type="spellStart"/>
      <w:r w:rsidRPr="00F54F7E">
        <w:rPr>
          <w:rFonts w:ascii="Verdana" w:hAnsi="Verdana" w:cs="Arial"/>
          <w:i/>
          <w:color w:val="000000" w:themeColor="text1"/>
          <w:sz w:val="20"/>
          <w:szCs w:val="20"/>
        </w:rPr>
        <w:t>cloud</w:t>
      </w:r>
      <w:proofErr w:type="spellEnd"/>
      <w:r w:rsidRPr="007D5094">
        <w:rPr>
          <w:rFonts w:ascii="Verdana" w:hAnsi="Verdana" w:cs="Arial"/>
          <w:color w:val="000000" w:themeColor="text1"/>
          <w:sz w:val="20"/>
          <w:szCs w:val="20"/>
        </w:rPr>
        <w:t xml:space="preserve">. La mayor inversión TI ha procedido de las medianas y grandes empresas, mientras que en el sector público se ha detectado un cierto </w:t>
      </w:r>
      <w:r w:rsidR="00EC7F71">
        <w:rPr>
          <w:rFonts w:ascii="Verdana" w:hAnsi="Verdana" w:cs="Arial"/>
          <w:color w:val="000000" w:themeColor="text1"/>
          <w:sz w:val="20"/>
          <w:szCs w:val="20"/>
        </w:rPr>
        <w:t>estan</w:t>
      </w:r>
      <w:r w:rsidR="00EC7F71" w:rsidRPr="007D5094">
        <w:rPr>
          <w:rFonts w:ascii="Verdana" w:hAnsi="Verdana" w:cs="Arial"/>
          <w:color w:val="000000" w:themeColor="text1"/>
          <w:sz w:val="20"/>
          <w:szCs w:val="20"/>
        </w:rPr>
        <w:t>camiento</w:t>
      </w:r>
      <w:r w:rsidRPr="007D5094">
        <w:rPr>
          <w:rFonts w:ascii="Verdana" w:hAnsi="Verdana" w:cs="Arial"/>
          <w:color w:val="000000" w:themeColor="text1"/>
          <w:sz w:val="20"/>
          <w:szCs w:val="20"/>
        </w:rPr>
        <w:t>.</w:t>
      </w:r>
      <w:r w:rsidR="003A5437" w:rsidRPr="007D5094">
        <w:rPr>
          <w:rFonts w:ascii="Verdana" w:hAnsi="Verdana" w:cs="Arial"/>
          <w:color w:val="000000" w:themeColor="text1"/>
          <w:sz w:val="20"/>
          <w:szCs w:val="20"/>
        </w:rPr>
        <w:t xml:space="preserve"> Éstos podrían ser los principales impulsores desde el punto de vista empresarial. El descenso del IPC, el menor coste hipotecario y la necesidad de renovar los dispositivos podría explicar el impulso del consumo particular, aunque esto se deberá constatar con los resultados que arroje el presente </w:t>
      </w:r>
      <w:proofErr w:type="gramStart"/>
      <w:r w:rsidR="00F54F7E">
        <w:rPr>
          <w:rFonts w:ascii="Verdana" w:hAnsi="Verdana" w:cs="Arial"/>
          <w:color w:val="000000" w:themeColor="text1"/>
          <w:sz w:val="20"/>
          <w:szCs w:val="20"/>
        </w:rPr>
        <w:lastRenderedPageBreak/>
        <w:t>año</w:t>
      </w:r>
      <w:proofErr w:type="gramEnd"/>
      <w:r w:rsidR="00F54F7E">
        <w:rPr>
          <w:rFonts w:ascii="Verdana" w:hAnsi="Verdana" w:cs="Arial"/>
          <w:color w:val="000000" w:themeColor="text1"/>
          <w:sz w:val="20"/>
          <w:szCs w:val="20"/>
        </w:rPr>
        <w:t xml:space="preserve"> de </w:t>
      </w:r>
      <w:r w:rsidR="003A5437" w:rsidRPr="007D5094">
        <w:rPr>
          <w:rFonts w:ascii="Verdana" w:hAnsi="Verdana" w:cs="Arial"/>
          <w:color w:val="000000" w:themeColor="text1"/>
          <w:sz w:val="20"/>
          <w:szCs w:val="20"/>
        </w:rPr>
        <w:t>2016.</w:t>
      </w:r>
      <w:r w:rsidRPr="007D5094">
        <w:rPr>
          <w:rFonts w:ascii="Verdana" w:hAnsi="Verdana" w:cs="Arial"/>
          <w:color w:val="000000" w:themeColor="text1"/>
          <w:sz w:val="20"/>
          <w:szCs w:val="20"/>
        </w:rPr>
        <w:t xml:space="preserve"> En este contexto, AMETIC entiende que la Administración debe jugar un papel mucho más relevante tanto como un agente inversor más como dinamizador impulsando el desarrollo de la sociedad digital y contribuyendo a que la aceleración continúe.</w:t>
      </w:r>
      <w:r w:rsidR="003A5437" w:rsidRPr="007D5094">
        <w:rPr>
          <w:rFonts w:ascii="Verdana" w:hAnsi="Verdana" w:cs="Arial"/>
          <w:color w:val="000000" w:themeColor="text1"/>
          <w:sz w:val="20"/>
          <w:szCs w:val="20"/>
        </w:rPr>
        <w:t xml:space="preserve"> </w:t>
      </w:r>
      <w:r w:rsidRPr="007D5094">
        <w:rPr>
          <w:rFonts w:ascii="Verdana" w:hAnsi="Verdana" w:cs="Arial"/>
          <w:color w:val="000000" w:themeColor="text1"/>
          <w:sz w:val="20"/>
          <w:szCs w:val="20"/>
        </w:rPr>
        <w:t>No obstante</w:t>
      </w:r>
      <w:r w:rsidR="00413645">
        <w:rPr>
          <w:rFonts w:ascii="Verdana" w:hAnsi="Verdana" w:cs="Arial"/>
          <w:color w:val="000000" w:themeColor="text1"/>
          <w:sz w:val="20"/>
          <w:szCs w:val="20"/>
        </w:rPr>
        <w:t xml:space="preserve"> a</w:t>
      </w:r>
      <w:r w:rsidRPr="007D5094">
        <w:rPr>
          <w:rFonts w:ascii="Verdana" w:hAnsi="Verdana" w:cs="Arial"/>
          <w:color w:val="000000" w:themeColor="text1"/>
          <w:sz w:val="20"/>
          <w:szCs w:val="20"/>
        </w:rPr>
        <w:t xml:space="preserve"> los datos,</w:t>
      </w:r>
      <w:r w:rsidR="00F54F7E">
        <w:rPr>
          <w:rFonts w:ascii="Verdana" w:hAnsi="Verdana" w:cs="Arial"/>
          <w:color w:val="000000" w:themeColor="text1"/>
          <w:sz w:val="20"/>
          <w:szCs w:val="20"/>
        </w:rPr>
        <w:t xml:space="preserve"> en</w:t>
      </w:r>
      <w:r w:rsidRPr="007D5094">
        <w:rPr>
          <w:rFonts w:ascii="Verdana" w:hAnsi="Verdana" w:cs="Arial"/>
          <w:color w:val="000000" w:themeColor="text1"/>
          <w:sz w:val="20"/>
          <w:szCs w:val="20"/>
        </w:rPr>
        <w:t xml:space="preserve"> AMETIC </w:t>
      </w:r>
      <w:r w:rsidR="003A5437" w:rsidRPr="007D5094">
        <w:rPr>
          <w:rFonts w:ascii="Verdana" w:hAnsi="Verdana" w:cs="Arial"/>
          <w:color w:val="000000" w:themeColor="text1"/>
          <w:sz w:val="20"/>
          <w:szCs w:val="20"/>
        </w:rPr>
        <w:t>se quiere huir de</w:t>
      </w:r>
      <w:r w:rsidRPr="007D5094">
        <w:rPr>
          <w:rFonts w:ascii="Verdana" w:hAnsi="Verdana" w:cs="Arial"/>
          <w:color w:val="000000" w:themeColor="text1"/>
          <w:sz w:val="20"/>
          <w:szCs w:val="20"/>
        </w:rPr>
        <w:t xml:space="preserve"> cualquier euforia y</w:t>
      </w:r>
      <w:r w:rsidR="003A5437" w:rsidRPr="007D5094">
        <w:rPr>
          <w:rFonts w:ascii="Verdana" w:hAnsi="Verdana" w:cs="Arial"/>
          <w:color w:val="000000" w:themeColor="text1"/>
          <w:sz w:val="20"/>
          <w:szCs w:val="20"/>
        </w:rPr>
        <w:t xml:space="preserve"> se asegura que “q</w:t>
      </w:r>
      <w:r w:rsidR="005C377D" w:rsidRPr="007D5094">
        <w:rPr>
          <w:rFonts w:ascii="Verdana" w:hAnsi="Verdana" w:cs="Arial"/>
          <w:color w:val="000000" w:themeColor="text1"/>
          <w:sz w:val="20"/>
          <w:szCs w:val="20"/>
        </w:rPr>
        <w:t>ueda camino por recorrer y potencial para acelerar este crecimiento en próximos ejercicios</w:t>
      </w:r>
      <w:r w:rsidR="003A5437" w:rsidRPr="007D5094">
        <w:rPr>
          <w:rFonts w:ascii="Verdana" w:hAnsi="Verdana" w:cs="Arial"/>
          <w:color w:val="000000" w:themeColor="text1"/>
          <w:sz w:val="20"/>
          <w:szCs w:val="20"/>
        </w:rPr>
        <w:t>”</w:t>
      </w:r>
      <w:r w:rsidR="005C377D" w:rsidRPr="007D5094">
        <w:rPr>
          <w:rFonts w:ascii="Verdana" w:hAnsi="Verdana" w:cs="Arial"/>
          <w:color w:val="000000" w:themeColor="text1"/>
          <w:sz w:val="20"/>
          <w:szCs w:val="20"/>
        </w:rPr>
        <w:t>.</w:t>
      </w:r>
    </w:p>
    <w:p w:rsidR="003A5437" w:rsidRPr="007D5094" w:rsidRDefault="003A5437" w:rsidP="007D5094">
      <w:pPr>
        <w:jc w:val="both"/>
        <w:rPr>
          <w:rFonts w:ascii="Verdana" w:hAnsi="Verdana"/>
          <w:b/>
          <w:bCs/>
          <w:color w:val="000000" w:themeColor="text1"/>
          <w:sz w:val="20"/>
          <w:szCs w:val="20"/>
          <w:u w:val="single"/>
        </w:rPr>
      </w:pPr>
    </w:p>
    <w:p w:rsidR="005C377D" w:rsidRDefault="005C377D" w:rsidP="007D5094">
      <w:pPr>
        <w:jc w:val="both"/>
        <w:rPr>
          <w:rFonts w:ascii="Verdana" w:hAnsi="Verdana"/>
          <w:bCs/>
          <w:color w:val="000000" w:themeColor="text1"/>
          <w:sz w:val="20"/>
          <w:szCs w:val="20"/>
        </w:rPr>
      </w:pPr>
      <w:r w:rsidRPr="007D5094">
        <w:rPr>
          <w:rFonts w:ascii="Verdana" w:hAnsi="Verdana"/>
          <w:b/>
          <w:bCs/>
          <w:color w:val="000000" w:themeColor="text1"/>
          <w:sz w:val="20"/>
          <w:szCs w:val="20"/>
        </w:rPr>
        <w:t xml:space="preserve">Comportamiento </w:t>
      </w:r>
      <w:r w:rsidR="003A5437" w:rsidRPr="007D5094">
        <w:rPr>
          <w:rFonts w:ascii="Verdana" w:hAnsi="Verdana"/>
          <w:b/>
          <w:bCs/>
          <w:color w:val="000000" w:themeColor="text1"/>
          <w:sz w:val="20"/>
          <w:szCs w:val="20"/>
        </w:rPr>
        <w:t>g</w:t>
      </w:r>
      <w:r w:rsidR="007D5094">
        <w:rPr>
          <w:rFonts w:ascii="Verdana" w:hAnsi="Verdana"/>
          <w:b/>
          <w:bCs/>
          <w:color w:val="000000" w:themeColor="text1"/>
          <w:sz w:val="20"/>
          <w:szCs w:val="20"/>
        </w:rPr>
        <w:t>lobal</w:t>
      </w:r>
      <w:r w:rsidR="007D5094" w:rsidRPr="007D5094">
        <w:rPr>
          <w:rFonts w:ascii="Verdana" w:hAnsi="Verdana"/>
          <w:bCs/>
          <w:color w:val="000000" w:themeColor="text1"/>
          <w:sz w:val="20"/>
          <w:szCs w:val="20"/>
        </w:rPr>
        <w:t>. Crece el consumo privado y la inversión empresarial.</w:t>
      </w:r>
    </w:p>
    <w:p w:rsidR="007D5094" w:rsidRPr="007D5094" w:rsidRDefault="007D5094" w:rsidP="007D5094">
      <w:pPr>
        <w:jc w:val="both"/>
        <w:rPr>
          <w:rFonts w:ascii="Verdana" w:hAnsi="Verdana"/>
          <w:color w:val="000000" w:themeColor="text1"/>
          <w:sz w:val="20"/>
          <w:szCs w:val="20"/>
        </w:rPr>
      </w:pPr>
    </w:p>
    <w:p w:rsidR="005C377D" w:rsidRPr="007D5094" w:rsidRDefault="005C377D" w:rsidP="007D5094">
      <w:pPr>
        <w:jc w:val="both"/>
        <w:rPr>
          <w:rFonts w:ascii="Verdana" w:hAnsi="Verdana" w:cs="Arial"/>
          <w:color w:val="000000" w:themeColor="text1"/>
          <w:sz w:val="20"/>
          <w:szCs w:val="20"/>
        </w:rPr>
      </w:pPr>
      <w:r w:rsidRPr="007D5094">
        <w:rPr>
          <w:rFonts w:ascii="Verdana" w:hAnsi="Verdana" w:cs="Arial"/>
          <w:color w:val="000000" w:themeColor="text1"/>
          <w:sz w:val="20"/>
          <w:szCs w:val="20"/>
        </w:rPr>
        <w:t xml:space="preserve">En líneas generales, se ha producido una recuperación del sector con respecto a años anteriores debido, fundamentalmente, al consumo privado y a la inversión empresarial. Si bien es cierto que la incertidumbre política de los últimos meses de 2015 puede haber frenado un mayor crecimiento, no es desdeñable la inversión de las administraciones públicas y las políticas tractoras definidas por el </w:t>
      </w:r>
      <w:r w:rsidR="00413645" w:rsidRPr="00685FC1">
        <w:rPr>
          <w:rFonts w:ascii="Verdana" w:hAnsi="Verdana" w:cs="Arial"/>
          <w:color w:val="000000" w:themeColor="text1"/>
          <w:sz w:val="20"/>
          <w:szCs w:val="20"/>
        </w:rPr>
        <w:t>Ministerio de Industria, Energía y Turismo (MINETUR)</w:t>
      </w:r>
      <w:r w:rsidRPr="007D5094">
        <w:rPr>
          <w:rFonts w:ascii="Verdana" w:hAnsi="Verdana" w:cs="Arial"/>
          <w:color w:val="000000" w:themeColor="text1"/>
          <w:sz w:val="20"/>
          <w:szCs w:val="20"/>
        </w:rPr>
        <w:t xml:space="preserve">. Sin embargo, el sector público </w:t>
      </w:r>
      <w:r w:rsidR="003A5437" w:rsidRPr="007D5094">
        <w:rPr>
          <w:rFonts w:ascii="Verdana" w:hAnsi="Verdana" w:cs="Arial"/>
          <w:color w:val="000000" w:themeColor="text1"/>
          <w:sz w:val="20"/>
          <w:szCs w:val="20"/>
        </w:rPr>
        <w:t>acumula</w:t>
      </w:r>
      <w:r w:rsidRPr="007D5094">
        <w:rPr>
          <w:rFonts w:ascii="Verdana" w:hAnsi="Verdana" w:cs="Arial"/>
          <w:color w:val="000000" w:themeColor="text1"/>
          <w:sz w:val="20"/>
          <w:szCs w:val="20"/>
        </w:rPr>
        <w:t xml:space="preserve"> meses </w:t>
      </w:r>
      <w:r w:rsidR="003A5437" w:rsidRPr="007D5094">
        <w:rPr>
          <w:rFonts w:ascii="Verdana" w:hAnsi="Verdana" w:cs="Arial"/>
          <w:color w:val="000000" w:themeColor="text1"/>
          <w:sz w:val="20"/>
          <w:szCs w:val="20"/>
        </w:rPr>
        <w:t xml:space="preserve">de </w:t>
      </w:r>
      <w:r w:rsidR="00EC7F71" w:rsidRPr="007D5094">
        <w:rPr>
          <w:rFonts w:ascii="Verdana" w:hAnsi="Verdana" w:cs="Arial"/>
          <w:color w:val="000000" w:themeColor="text1"/>
          <w:sz w:val="20"/>
          <w:szCs w:val="20"/>
        </w:rPr>
        <w:t>parálisis</w:t>
      </w:r>
      <w:r w:rsidRPr="007D5094">
        <w:rPr>
          <w:rFonts w:ascii="Verdana" w:hAnsi="Verdana" w:cs="Arial"/>
          <w:color w:val="000000" w:themeColor="text1"/>
          <w:sz w:val="20"/>
          <w:szCs w:val="20"/>
        </w:rPr>
        <w:t xml:space="preserve"> por</w:t>
      </w:r>
      <w:r w:rsidR="003A5437" w:rsidRPr="007D5094">
        <w:rPr>
          <w:rFonts w:ascii="Verdana" w:hAnsi="Verdana" w:cs="Arial"/>
          <w:color w:val="000000" w:themeColor="text1"/>
          <w:sz w:val="20"/>
          <w:szCs w:val="20"/>
        </w:rPr>
        <w:t xml:space="preserve"> la situación política </w:t>
      </w:r>
      <w:r w:rsidR="007D5094">
        <w:rPr>
          <w:rFonts w:ascii="Verdana" w:hAnsi="Verdana" w:cs="Arial"/>
          <w:color w:val="000000" w:themeColor="text1"/>
          <w:sz w:val="20"/>
          <w:szCs w:val="20"/>
        </w:rPr>
        <w:t>que viv</w:t>
      </w:r>
      <w:r w:rsidR="003A5437" w:rsidRPr="007D5094">
        <w:rPr>
          <w:rFonts w:ascii="Verdana" w:hAnsi="Verdana" w:cs="Arial"/>
          <w:color w:val="000000" w:themeColor="text1"/>
          <w:sz w:val="20"/>
          <w:szCs w:val="20"/>
        </w:rPr>
        <w:t>imos.</w:t>
      </w:r>
    </w:p>
    <w:p w:rsidR="003A5437" w:rsidRPr="007D5094" w:rsidRDefault="003A5437" w:rsidP="007D5094">
      <w:pPr>
        <w:jc w:val="both"/>
        <w:rPr>
          <w:rFonts w:ascii="Verdana" w:hAnsi="Verdana"/>
          <w:b/>
          <w:bCs/>
          <w:color w:val="000000" w:themeColor="text1"/>
          <w:sz w:val="20"/>
          <w:szCs w:val="20"/>
          <w:u w:val="single"/>
        </w:rPr>
      </w:pPr>
    </w:p>
    <w:p w:rsidR="005C377D" w:rsidRDefault="005C377D" w:rsidP="007D5094">
      <w:pPr>
        <w:jc w:val="both"/>
        <w:rPr>
          <w:rFonts w:ascii="Verdana" w:hAnsi="Verdana"/>
          <w:bCs/>
          <w:color w:val="000000" w:themeColor="text1"/>
          <w:sz w:val="20"/>
          <w:szCs w:val="20"/>
        </w:rPr>
      </w:pPr>
      <w:r w:rsidRPr="007D5094">
        <w:rPr>
          <w:rFonts w:ascii="Verdana" w:hAnsi="Verdana"/>
          <w:b/>
          <w:bCs/>
          <w:color w:val="000000" w:themeColor="text1"/>
          <w:sz w:val="20"/>
          <w:szCs w:val="20"/>
        </w:rPr>
        <w:t>Hardware</w:t>
      </w:r>
      <w:r w:rsidR="007D5094">
        <w:rPr>
          <w:rFonts w:ascii="Verdana" w:hAnsi="Verdana"/>
          <w:bCs/>
          <w:color w:val="000000" w:themeColor="text1"/>
          <w:sz w:val="20"/>
          <w:szCs w:val="20"/>
        </w:rPr>
        <w:t>.</w:t>
      </w:r>
      <w:r w:rsidR="007D5094" w:rsidRPr="007D5094">
        <w:rPr>
          <w:rFonts w:ascii="Verdana" w:hAnsi="Verdana"/>
          <w:color w:val="000000" w:themeColor="text1"/>
          <w:sz w:val="20"/>
          <w:szCs w:val="20"/>
        </w:rPr>
        <w:t xml:space="preserve"> </w:t>
      </w:r>
      <w:r w:rsidR="00EC7F71" w:rsidRPr="007D5094">
        <w:rPr>
          <w:rFonts w:ascii="Verdana" w:hAnsi="Verdana"/>
          <w:color w:val="000000" w:themeColor="text1"/>
          <w:sz w:val="20"/>
          <w:szCs w:val="20"/>
        </w:rPr>
        <w:t>La</w:t>
      </w:r>
      <w:r w:rsidR="007D5094" w:rsidRPr="007D5094">
        <w:rPr>
          <w:rFonts w:ascii="Verdana" w:hAnsi="Verdana"/>
          <w:color w:val="000000" w:themeColor="text1"/>
          <w:sz w:val="20"/>
          <w:szCs w:val="20"/>
        </w:rPr>
        <w:t xml:space="preserve"> necesidad </w:t>
      </w:r>
      <w:r w:rsidR="007D5094" w:rsidRPr="007D5094">
        <w:rPr>
          <w:rFonts w:ascii="Verdana" w:hAnsi="Verdana" w:cs="Arial"/>
          <w:color w:val="000000" w:themeColor="text1"/>
          <w:sz w:val="20"/>
          <w:szCs w:val="20"/>
        </w:rPr>
        <w:t>de renovar un parque que había quedado obsoleto.</w:t>
      </w:r>
      <w:r w:rsidR="007D5094">
        <w:rPr>
          <w:rFonts w:ascii="Verdana" w:hAnsi="Verdana" w:cs="Arial"/>
          <w:color w:val="000000" w:themeColor="text1"/>
          <w:sz w:val="20"/>
          <w:szCs w:val="20"/>
        </w:rPr>
        <w:t xml:space="preserve"> Apuesta por la movilidad</w:t>
      </w:r>
    </w:p>
    <w:p w:rsidR="007D5094" w:rsidRPr="007D5094" w:rsidRDefault="007D5094" w:rsidP="007D5094">
      <w:pPr>
        <w:jc w:val="both"/>
        <w:rPr>
          <w:rFonts w:ascii="Verdana" w:hAnsi="Verdana"/>
          <w:color w:val="000000" w:themeColor="text1"/>
          <w:sz w:val="20"/>
          <w:szCs w:val="20"/>
        </w:rPr>
      </w:pPr>
    </w:p>
    <w:p w:rsidR="005C377D" w:rsidRPr="007D5094" w:rsidRDefault="003A5437" w:rsidP="007D5094">
      <w:pPr>
        <w:jc w:val="both"/>
        <w:rPr>
          <w:rFonts w:ascii="Verdana" w:hAnsi="Verdana" w:cs="Arial"/>
          <w:color w:val="000000" w:themeColor="text1"/>
          <w:sz w:val="20"/>
          <w:szCs w:val="20"/>
        </w:rPr>
      </w:pPr>
      <w:r w:rsidRPr="007D5094">
        <w:rPr>
          <w:rFonts w:ascii="Verdana" w:hAnsi="Verdana"/>
          <w:bCs/>
          <w:color w:val="000000" w:themeColor="text1"/>
          <w:sz w:val="20"/>
          <w:szCs w:val="20"/>
        </w:rPr>
        <w:t>En el segmento hardware, el</w:t>
      </w:r>
      <w:r w:rsidRPr="007D5094">
        <w:rPr>
          <w:rFonts w:ascii="Verdana" w:hAnsi="Verdana"/>
          <w:b/>
          <w:bCs/>
          <w:color w:val="000000" w:themeColor="text1"/>
          <w:sz w:val="20"/>
          <w:szCs w:val="20"/>
        </w:rPr>
        <w:t xml:space="preserve"> </w:t>
      </w:r>
      <w:r w:rsidRPr="007D5094">
        <w:rPr>
          <w:rFonts w:ascii="Verdana" w:hAnsi="Verdana"/>
          <w:bCs/>
          <w:color w:val="000000" w:themeColor="text1"/>
          <w:sz w:val="20"/>
          <w:szCs w:val="20"/>
        </w:rPr>
        <w:t>c</w:t>
      </w:r>
      <w:r w:rsidR="005C377D" w:rsidRPr="007D5094">
        <w:rPr>
          <w:rFonts w:ascii="Verdana" w:hAnsi="Verdana" w:cs="Arial"/>
          <w:color w:val="000000" w:themeColor="text1"/>
          <w:sz w:val="20"/>
          <w:szCs w:val="20"/>
        </w:rPr>
        <w:t>recimiento</w:t>
      </w:r>
      <w:r w:rsidRPr="007D5094">
        <w:rPr>
          <w:rFonts w:ascii="Verdana" w:hAnsi="Verdana" w:cs="Arial"/>
          <w:color w:val="000000" w:themeColor="text1"/>
          <w:sz w:val="20"/>
          <w:szCs w:val="20"/>
        </w:rPr>
        <w:t xml:space="preserve"> tiene su base en la</w:t>
      </w:r>
      <w:r w:rsidR="005C377D" w:rsidRPr="007D5094">
        <w:rPr>
          <w:rFonts w:ascii="Verdana" w:hAnsi="Verdana" w:cs="Arial"/>
          <w:color w:val="000000" w:themeColor="text1"/>
          <w:sz w:val="20"/>
          <w:szCs w:val="20"/>
        </w:rPr>
        <w:t xml:space="preserve"> gran empresa</w:t>
      </w:r>
      <w:r w:rsidRPr="007D5094">
        <w:rPr>
          <w:rFonts w:ascii="Verdana" w:hAnsi="Verdana" w:cs="Arial"/>
          <w:color w:val="000000" w:themeColor="text1"/>
          <w:sz w:val="20"/>
          <w:szCs w:val="20"/>
        </w:rPr>
        <w:t xml:space="preserve"> y en el importante peso del consumo.</w:t>
      </w:r>
      <w:r w:rsidR="005C377D" w:rsidRPr="007D5094">
        <w:rPr>
          <w:rFonts w:ascii="Verdana" w:hAnsi="Verdana"/>
          <w:color w:val="000000" w:themeColor="text1"/>
          <w:sz w:val="20"/>
          <w:szCs w:val="20"/>
        </w:rPr>
        <w:t> </w:t>
      </w:r>
      <w:r w:rsidRPr="007D5094">
        <w:rPr>
          <w:rFonts w:ascii="Verdana" w:hAnsi="Verdana"/>
          <w:color w:val="000000" w:themeColor="text1"/>
          <w:sz w:val="20"/>
          <w:szCs w:val="20"/>
        </w:rPr>
        <w:t xml:space="preserve">Ha existido la necesidad </w:t>
      </w:r>
      <w:r w:rsidRPr="007D5094">
        <w:rPr>
          <w:rFonts w:ascii="Verdana" w:hAnsi="Verdana" w:cs="Arial"/>
          <w:color w:val="000000" w:themeColor="text1"/>
          <w:sz w:val="20"/>
          <w:szCs w:val="20"/>
        </w:rPr>
        <w:t>de renovar un</w:t>
      </w:r>
      <w:r w:rsidR="005C377D" w:rsidRPr="007D5094">
        <w:rPr>
          <w:rFonts w:ascii="Verdana" w:hAnsi="Verdana" w:cs="Arial"/>
          <w:color w:val="000000" w:themeColor="text1"/>
          <w:sz w:val="20"/>
          <w:szCs w:val="20"/>
        </w:rPr>
        <w:t xml:space="preserve"> parque que </w:t>
      </w:r>
      <w:r w:rsidRPr="007D5094">
        <w:rPr>
          <w:rFonts w:ascii="Verdana" w:hAnsi="Verdana" w:cs="Arial"/>
          <w:color w:val="000000" w:themeColor="text1"/>
          <w:sz w:val="20"/>
          <w:szCs w:val="20"/>
        </w:rPr>
        <w:t>había quedado</w:t>
      </w:r>
      <w:r w:rsidR="005C377D" w:rsidRPr="007D5094">
        <w:rPr>
          <w:rFonts w:ascii="Verdana" w:hAnsi="Verdana" w:cs="Arial"/>
          <w:color w:val="000000" w:themeColor="text1"/>
          <w:sz w:val="20"/>
          <w:szCs w:val="20"/>
        </w:rPr>
        <w:t xml:space="preserve"> obsoleto.</w:t>
      </w:r>
      <w:r w:rsidRPr="007D5094">
        <w:rPr>
          <w:rFonts w:ascii="Verdana" w:hAnsi="Verdana" w:cs="Arial"/>
          <w:color w:val="000000" w:themeColor="text1"/>
          <w:sz w:val="20"/>
          <w:szCs w:val="20"/>
        </w:rPr>
        <w:t xml:space="preserve"> </w:t>
      </w:r>
      <w:r w:rsidR="005C377D" w:rsidRPr="007D5094">
        <w:rPr>
          <w:rFonts w:ascii="Verdana" w:hAnsi="Verdana" w:cs="Arial"/>
          <w:color w:val="000000" w:themeColor="text1"/>
          <w:sz w:val="20"/>
          <w:szCs w:val="20"/>
        </w:rPr>
        <w:t>Las soluciones de equipamiento orientadas a entornos de movilidad han destacado frente al resto.</w:t>
      </w:r>
      <w:r w:rsidRPr="007D5094">
        <w:rPr>
          <w:rFonts w:ascii="Verdana" w:hAnsi="Verdana" w:cs="Arial"/>
          <w:color w:val="000000" w:themeColor="text1"/>
          <w:sz w:val="20"/>
          <w:szCs w:val="20"/>
        </w:rPr>
        <w:t xml:space="preserve"> También ha contribuido al repu</w:t>
      </w:r>
      <w:r w:rsidR="00413645">
        <w:rPr>
          <w:rFonts w:ascii="Verdana" w:hAnsi="Verdana" w:cs="Arial"/>
          <w:color w:val="000000" w:themeColor="text1"/>
          <w:sz w:val="20"/>
          <w:szCs w:val="20"/>
        </w:rPr>
        <w:t>n</w:t>
      </w:r>
      <w:r w:rsidRPr="007D5094">
        <w:rPr>
          <w:rFonts w:ascii="Verdana" w:hAnsi="Verdana" w:cs="Arial"/>
          <w:color w:val="000000" w:themeColor="text1"/>
          <w:sz w:val="20"/>
          <w:szCs w:val="20"/>
        </w:rPr>
        <w:t>te de manera importante l</w:t>
      </w:r>
      <w:r w:rsidR="005C377D" w:rsidRPr="007D5094">
        <w:rPr>
          <w:rFonts w:ascii="Verdana" w:hAnsi="Verdana" w:cs="Arial"/>
          <w:color w:val="000000" w:themeColor="text1"/>
          <w:sz w:val="20"/>
          <w:szCs w:val="20"/>
        </w:rPr>
        <w:t>a venta de servidores</w:t>
      </w:r>
      <w:r w:rsidRPr="007D5094">
        <w:rPr>
          <w:rFonts w:ascii="Verdana" w:hAnsi="Verdana" w:cs="Arial"/>
          <w:color w:val="000000" w:themeColor="text1"/>
          <w:sz w:val="20"/>
          <w:szCs w:val="20"/>
        </w:rPr>
        <w:t>, sobre todo en</w:t>
      </w:r>
      <w:r w:rsidR="005C377D" w:rsidRPr="007D5094">
        <w:rPr>
          <w:rFonts w:ascii="Verdana" w:hAnsi="Verdana" w:cs="Arial"/>
          <w:color w:val="000000" w:themeColor="text1"/>
          <w:sz w:val="20"/>
          <w:szCs w:val="20"/>
        </w:rPr>
        <w:t xml:space="preserve"> determinados nichos como los entornos de misión crítica y analítica de datos, así como una mayor penetración en el canal.</w:t>
      </w:r>
      <w:r w:rsidRPr="007D5094">
        <w:rPr>
          <w:rFonts w:ascii="Verdana" w:hAnsi="Verdana" w:cs="Arial"/>
          <w:color w:val="000000" w:themeColor="text1"/>
          <w:sz w:val="20"/>
          <w:szCs w:val="20"/>
        </w:rPr>
        <w:t xml:space="preserve"> </w:t>
      </w:r>
      <w:r w:rsidR="005C377D" w:rsidRPr="007D5094">
        <w:rPr>
          <w:rFonts w:ascii="Verdana" w:hAnsi="Verdana"/>
          <w:color w:val="000000" w:themeColor="text1"/>
          <w:sz w:val="20"/>
          <w:szCs w:val="20"/>
        </w:rPr>
        <w:t> </w:t>
      </w:r>
      <w:r w:rsidR="005C377D" w:rsidRPr="007D5094">
        <w:rPr>
          <w:rFonts w:ascii="Verdana" w:hAnsi="Verdana" w:cs="Arial"/>
          <w:color w:val="000000" w:themeColor="text1"/>
          <w:sz w:val="20"/>
          <w:szCs w:val="20"/>
        </w:rPr>
        <w:t>No así en el contexto de los PC o el almacenamiento, donde los crecimientos han sido prácticamente nulos.</w:t>
      </w:r>
    </w:p>
    <w:p w:rsidR="007D5094" w:rsidRPr="007D5094" w:rsidRDefault="007D5094" w:rsidP="007D5094">
      <w:pPr>
        <w:jc w:val="both"/>
        <w:rPr>
          <w:rFonts w:ascii="Verdana" w:hAnsi="Verdana" w:cs="Arial"/>
          <w:color w:val="000000" w:themeColor="text1"/>
          <w:sz w:val="20"/>
          <w:szCs w:val="20"/>
        </w:rPr>
      </w:pPr>
    </w:p>
    <w:p w:rsidR="005C377D" w:rsidRDefault="005C377D" w:rsidP="007D5094">
      <w:pPr>
        <w:jc w:val="both"/>
        <w:rPr>
          <w:rFonts w:ascii="Verdana" w:hAnsi="Verdana"/>
          <w:bCs/>
          <w:color w:val="000000" w:themeColor="text1"/>
          <w:sz w:val="20"/>
          <w:szCs w:val="20"/>
        </w:rPr>
      </w:pPr>
      <w:r w:rsidRPr="007D5094">
        <w:rPr>
          <w:rFonts w:ascii="Verdana" w:hAnsi="Verdana"/>
          <w:b/>
          <w:bCs/>
          <w:color w:val="000000" w:themeColor="text1"/>
          <w:sz w:val="20"/>
          <w:szCs w:val="20"/>
        </w:rPr>
        <w:t>Software</w:t>
      </w:r>
      <w:r w:rsidR="007D5094">
        <w:rPr>
          <w:rFonts w:ascii="Verdana" w:hAnsi="Verdana"/>
          <w:bCs/>
          <w:color w:val="000000" w:themeColor="text1"/>
          <w:sz w:val="20"/>
          <w:szCs w:val="20"/>
        </w:rPr>
        <w:t xml:space="preserve">. El endurecimiento de las penas por piratería y el auge del </w:t>
      </w:r>
      <w:proofErr w:type="spellStart"/>
      <w:r w:rsidR="007D5094" w:rsidRPr="00F54F7E">
        <w:rPr>
          <w:rFonts w:ascii="Verdana" w:hAnsi="Verdana"/>
          <w:bCs/>
          <w:i/>
          <w:color w:val="000000" w:themeColor="text1"/>
          <w:sz w:val="20"/>
          <w:szCs w:val="20"/>
        </w:rPr>
        <w:t>Bussines</w:t>
      </w:r>
      <w:proofErr w:type="spellEnd"/>
      <w:r w:rsidR="007D5094" w:rsidRPr="00F54F7E">
        <w:rPr>
          <w:rFonts w:ascii="Verdana" w:hAnsi="Verdana"/>
          <w:bCs/>
          <w:i/>
          <w:color w:val="000000" w:themeColor="text1"/>
          <w:sz w:val="20"/>
          <w:szCs w:val="20"/>
        </w:rPr>
        <w:t xml:space="preserve"> </w:t>
      </w:r>
      <w:proofErr w:type="spellStart"/>
      <w:r w:rsidR="00EC7F71" w:rsidRPr="00F54F7E">
        <w:rPr>
          <w:rFonts w:ascii="Verdana" w:hAnsi="Verdana"/>
          <w:bCs/>
          <w:i/>
          <w:color w:val="000000" w:themeColor="text1"/>
          <w:sz w:val="20"/>
          <w:szCs w:val="20"/>
        </w:rPr>
        <w:t>Intelligence</w:t>
      </w:r>
      <w:proofErr w:type="spellEnd"/>
      <w:r w:rsidR="00EC7F71">
        <w:rPr>
          <w:rFonts w:ascii="Verdana" w:hAnsi="Verdana"/>
          <w:bCs/>
          <w:color w:val="000000" w:themeColor="text1"/>
          <w:sz w:val="20"/>
          <w:szCs w:val="20"/>
        </w:rPr>
        <w:t>.</w:t>
      </w:r>
    </w:p>
    <w:p w:rsidR="007D5094" w:rsidRPr="007D5094" w:rsidRDefault="007D5094" w:rsidP="007D5094">
      <w:pPr>
        <w:jc w:val="both"/>
        <w:rPr>
          <w:rFonts w:ascii="Verdana" w:hAnsi="Verdana"/>
          <w:color w:val="000000" w:themeColor="text1"/>
          <w:sz w:val="20"/>
          <w:szCs w:val="20"/>
        </w:rPr>
      </w:pPr>
    </w:p>
    <w:p w:rsidR="005C377D" w:rsidRPr="007D5094" w:rsidRDefault="007D5094" w:rsidP="007D5094">
      <w:pPr>
        <w:jc w:val="both"/>
        <w:rPr>
          <w:rFonts w:ascii="Verdana" w:hAnsi="Verdana"/>
          <w:color w:val="000000" w:themeColor="text1"/>
          <w:sz w:val="20"/>
          <w:szCs w:val="20"/>
        </w:rPr>
      </w:pPr>
      <w:r w:rsidRPr="007D5094">
        <w:rPr>
          <w:rFonts w:ascii="Verdana" w:hAnsi="Verdana"/>
          <w:color w:val="000000" w:themeColor="text1"/>
          <w:sz w:val="20"/>
          <w:szCs w:val="20"/>
        </w:rPr>
        <w:t>En el segmento del software, l</w:t>
      </w:r>
      <w:r w:rsidR="005C377D" w:rsidRPr="007D5094">
        <w:rPr>
          <w:rFonts w:ascii="Verdana" w:hAnsi="Verdana"/>
          <w:color w:val="000000" w:themeColor="text1"/>
          <w:sz w:val="20"/>
          <w:szCs w:val="20"/>
        </w:rPr>
        <w:t>os principales impulsores del crecimiento de 2015</w:t>
      </w:r>
      <w:r w:rsidR="00F54F7E">
        <w:rPr>
          <w:rFonts w:ascii="Verdana" w:hAnsi="Verdana"/>
          <w:color w:val="000000" w:themeColor="text1"/>
          <w:sz w:val="20"/>
          <w:szCs w:val="20"/>
        </w:rPr>
        <w:t>,</w:t>
      </w:r>
      <w:r w:rsidRPr="007D5094">
        <w:rPr>
          <w:rFonts w:ascii="Verdana" w:hAnsi="Verdana"/>
          <w:color w:val="000000" w:themeColor="text1"/>
          <w:sz w:val="20"/>
          <w:szCs w:val="20"/>
        </w:rPr>
        <w:t xml:space="preserve"> </w:t>
      </w:r>
      <w:r w:rsidR="005C377D" w:rsidRPr="007D5094">
        <w:rPr>
          <w:rFonts w:ascii="Verdana" w:hAnsi="Verdana"/>
          <w:color w:val="000000" w:themeColor="text1"/>
          <w:sz w:val="20"/>
          <w:szCs w:val="20"/>
        </w:rPr>
        <w:t xml:space="preserve">ordenados de mayor a menor impacto </w:t>
      </w:r>
      <w:r w:rsidRPr="007D5094">
        <w:rPr>
          <w:rFonts w:ascii="Verdana" w:hAnsi="Verdana"/>
          <w:color w:val="000000" w:themeColor="text1"/>
          <w:sz w:val="20"/>
          <w:szCs w:val="20"/>
        </w:rPr>
        <w:t>han sido</w:t>
      </w:r>
      <w:r w:rsidR="005C377D" w:rsidRPr="007D5094">
        <w:rPr>
          <w:rFonts w:ascii="Verdana" w:hAnsi="Verdana"/>
          <w:color w:val="000000" w:themeColor="text1"/>
          <w:sz w:val="20"/>
          <w:szCs w:val="20"/>
        </w:rPr>
        <w:t>:</w:t>
      </w:r>
    </w:p>
    <w:p w:rsidR="005C377D" w:rsidRPr="007D5094" w:rsidRDefault="005C377D" w:rsidP="007D5094">
      <w:pPr>
        <w:jc w:val="both"/>
        <w:rPr>
          <w:rFonts w:ascii="Verdana" w:hAnsi="Verdana"/>
          <w:color w:val="000000" w:themeColor="text1"/>
          <w:sz w:val="20"/>
          <w:szCs w:val="20"/>
        </w:rPr>
      </w:pPr>
      <w:r w:rsidRPr="007D5094">
        <w:rPr>
          <w:rFonts w:ascii="Verdana" w:hAnsi="Verdana"/>
          <w:color w:val="000000" w:themeColor="text1"/>
          <w:sz w:val="20"/>
          <w:szCs w:val="20"/>
        </w:rPr>
        <w:t> </w:t>
      </w:r>
    </w:p>
    <w:p w:rsidR="005C377D" w:rsidRPr="007D5094" w:rsidRDefault="005C377D" w:rsidP="007D5094">
      <w:pPr>
        <w:pStyle w:val="Prrafodelista"/>
        <w:numPr>
          <w:ilvl w:val="0"/>
          <w:numId w:val="3"/>
        </w:numPr>
        <w:jc w:val="both"/>
        <w:rPr>
          <w:rFonts w:ascii="Verdana" w:hAnsi="Verdana" w:cs="Arial"/>
          <w:color w:val="000000" w:themeColor="text1"/>
          <w:sz w:val="20"/>
          <w:szCs w:val="20"/>
        </w:rPr>
      </w:pPr>
      <w:r w:rsidRPr="007D5094">
        <w:rPr>
          <w:rFonts w:ascii="Verdana" w:hAnsi="Verdana" w:cs="Arial"/>
          <w:color w:val="000000" w:themeColor="text1"/>
          <w:sz w:val="20"/>
          <w:szCs w:val="20"/>
        </w:rPr>
        <w:t xml:space="preserve">Los nuevos servicios de software en la nube han seducido a un gran número de usuarios particulares y empresas que han trasladado al </w:t>
      </w:r>
      <w:proofErr w:type="spellStart"/>
      <w:r w:rsidR="00EC53BC">
        <w:rPr>
          <w:rFonts w:ascii="Verdana" w:hAnsi="Verdana" w:cs="Arial"/>
          <w:color w:val="000000" w:themeColor="text1"/>
          <w:sz w:val="20"/>
          <w:szCs w:val="20"/>
        </w:rPr>
        <w:t>c</w:t>
      </w:r>
      <w:r w:rsidRPr="00F54F7E">
        <w:rPr>
          <w:rFonts w:ascii="Verdana" w:hAnsi="Verdana" w:cs="Arial"/>
          <w:i/>
          <w:color w:val="000000" w:themeColor="text1"/>
          <w:sz w:val="20"/>
          <w:szCs w:val="20"/>
        </w:rPr>
        <w:t>loud</w:t>
      </w:r>
      <w:proofErr w:type="spellEnd"/>
      <w:r w:rsidRPr="007D5094">
        <w:rPr>
          <w:rFonts w:ascii="Verdana" w:hAnsi="Verdana" w:cs="Arial"/>
          <w:color w:val="000000" w:themeColor="text1"/>
          <w:sz w:val="20"/>
          <w:szCs w:val="20"/>
        </w:rPr>
        <w:t xml:space="preserve"> un amplio conjunto de elementos software tanto </w:t>
      </w:r>
      <w:r w:rsidR="007D5094">
        <w:rPr>
          <w:rFonts w:ascii="Verdana" w:hAnsi="Verdana" w:cs="Arial"/>
          <w:color w:val="000000" w:themeColor="text1"/>
          <w:sz w:val="20"/>
          <w:szCs w:val="20"/>
        </w:rPr>
        <w:t xml:space="preserve">de </w:t>
      </w:r>
      <w:r w:rsidRPr="007D5094">
        <w:rPr>
          <w:rFonts w:ascii="Verdana" w:hAnsi="Verdana" w:cs="Arial"/>
          <w:color w:val="000000" w:themeColor="text1"/>
          <w:sz w:val="20"/>
          <w:szCs w:val="20"/>
        </w:rPr>
        <w:t>sus puestos de trabajos como de sus CPD.</w:t>
      </w:r>
    </w:p>
    <w:p w:rsidR="007D5094" w:rsidRPr="007D5094" w:rsidRDefault="007D5094" w:rsidP="007D5094">
      <w:pPr>
        <w:jc w:val="both"/>
        <w:rPr>
          <w:rFonts w:ascii="Verdana" w:hAnsi="Verdana" w:cs="Arial"/>
          <w:color w:val="000000" w:themeColor="text1"/>
          <w:sz w:val="20"/>
          <w:szCs w:val="20"/>
        </w:rPr>
      </w:pPr>
    </w:p>
    <w:p w:rsidR="005C377D" w:rsidRPr="007D5094" w:rsidRDefault="005C377D" w:rsidP="007D5094">
      <w:pPr>
        <w:pStyle w:val="Prrafodelista"/>
        <w:numPr>
          <w:ilvl w:val="0"/>
          <w:numId w:val="3"/>
        </w:numPr>
        <w:jc w:val="both"/>
        <w:rPr>
          <w:rFonts w:ascii="Verdana" w:hAnsi="Verdana" w:cs="Arial"/>
          <w:color w:val="000000" w:themeColor="text1"/>
          <w:sz w:val="20"/>
          <w:szCs w:val="20"/>
        </w:rPr>
      </w:pPr>
      <w:r w:rsidRPr="007D5094">
        <w:rPr>
          <w:rFonts w:ascii="Verdana" w:hAnsi="Verdana" w:cs="Arial"/>
          <w:color w:val="000000" w:themeColor="text1"/>
          <w:sz w:val="20"/>
          <w:szCs w:val="20"/>
        </w:rPr>
        <w:t>Tanto la nueva Ley de Propiedad Intelectual (entrada en vigor en enero de 2015) como el nuevo Código Penal (jul</w:t>
      </w:r>
      <w:r w:rsidR="007D5094">
        <w:rPr>
          <w:rFonts w:ascii="Verdana" w:hAnsi="Verdana" w:cs="Arial"/>
          <w:color w:val="000000" w:themeColor="text1"/>
          <w:sz w:val="20"/>
          <w:szCs w:val="20"/>
        </w:rPr>
        <w:t>i</w:t>
      </w:r>
      <w:r w:rsidRPr="007D5094">
        <w:rPr>
          <w:rFonts w:ascii="Verdana" w:hAnsi="Verdana" w:cs="Arial"/>
          <w:color w:val="000000" w:themeColor="text1"/>
          <w:sz w:val="20"/>
          <w:szCs w:val="20"/>
        </w:rPr>
        <w:t>o de 2015) han endurecido las penas por el uso ilegal del software en las empresas, lo que ha tenido como consecuencia un notable crecimiento en las compras legales con objetivo de resolver situaciones de ilegalidad dentro de las organizaciones.</w:t>
      </w:r>
    </w:p>
    <w:p w:rsidR="007D5094" w:rsidRPr="007D5094" w:rsidRDefault="007D5094" w:rsidP="007D5094">
      <w:pPr>
        <w:jc w:val="both"/>
        <w:rPr>
          <w:rFonts w:ascii="Verdana" w:hAnsi="Verdana" w:cs="Arial"/>
          <w:color w:val="000000" w:themeColor="text1"/>
          <w:sz w:val="20"/>
          <w:szCs w:val="20"/>
        </w:rPr>
      </w:pPr>
    </w:p>
    <w:p w:rsidR="005C377D" w:rsidRPr="007D5094" w:rsidRDefault="00F54F7E" w:rsidP="007D5094">
      <w:pPr>
        <w:pStyle w:val="Prrafodelista"/>
        <w:numPr>
          <w:ilvl w:val="0"/>
          <w:numId w:val="3"/>
        </w:numPr>
        <w:jc w:val="both"/>
        <w:rPr>
          <w:rFonts w:ascii="Verdana" w:hAnsi="Verdana" w:cs="Arial"/>
          <w:color w:val="000000" w:themeColor="text1"/>
          <w:sz w:val="20"/>
          <w:szCs w:val="20"/>
        </w:rPr>
      </w:pPr>
      <w:r>
        <w:rPr>
          <w:rFonts w:ascii="Verdana" w:hAnsi="Verdana" w:cs="Arial"/>
          <w:color w:val="000000" w:themeColor="text1"/>
          <w:sz w:val="20"/>
          <w:szCs w:val="20"/>
        </w:rPr>
        <w:t xml:space="preserve">El entorno económico </w:t>
      </w:r>
      <w:r w:rsidR="005C377D" w:rsidRPr="007D5094">
        <w:rPr>
          <w:rFonts w:ascii="Verdana" w:hAnsi="Verdana" w:cs="Arial"/>
          <w:color w:val="000000" w:themeColor="text1"/>
          <w:sz w:val="20"/>
          <w:szCs w:val="20"/>
        </w:rPr>
        <w:t>español durante 2015 en el que el</w:t>
      </w:r>
      <w:r>
        <w:rPr>
          <w:rFonts w:ascii="Verdana" w:hAnsi="Verdana" w:cs="Arial"/>
          <w:color w:val="000000" w:themeColor="text1"/>
          <w:sz w:val="20"/>
          <w:szCs w:val="20"/>
        </w:rPr>
        <w:t xml:space="preserve"> descenso de la demanda primaba </w:t>
      </w:r>
      <w:r w:rsidR="005C377D" w:rsidRPr="007D5094">
        <w:rPr>
          <w:rFonts w:ascii="Verdana" w:hAnsi="Verdana" w:cs="Arial"/>
          <w:color w:val="000000" w:themeColor="text1"/>
          <w:sz w:val="20"/>
          <w:szCs w:val="20"/>
        </w:rPr>
        <w:t xml:space="preserve">un aumento en la competitividad de las empresas para poder sobrevivir, ha tenido como consecuencia un muy fuerte crecimiento de las </w:t>
      </w:r>
      <w:r>
        <w:rPr>
          <w:rFonts w:ascii="Verdana" w:hAnsi="Verdana" w:cs="Arial"/>
          <w:color w:val="000000" w:themeColor="text1"/>
          <w:sz w:val="20"/>
          <w:szCs w:val="20"/>
        </w:rPr>
        <w:t xml:space="preserve">soluciones de análisis de datos </w:t>
      </w:r>
      <w:r w:rsidR="005C377D" w:rsidRPr="007D5094">
        <w:rPr>
          <w:rFonts w:ascii="Verdana" w:hAnsi="Verdana" w:cs="Arial"/>
          <w:color w:val="000000" w:themeColor="text1"/>
          <w:sz w:val="20"/>
          <w:szCs w:val="20"/>
        </w:rPr>
        <w:t>(</w:t>
      </w:r>
      <w:r w:rsidR="005C377D" w:rsidRPr="00F54F7E">
        <w:rPr>
          <w:rFonts w:ascii="Verdana" w:hAnsi="Verdana" w:cs="Arial"/>
          <w:i/>
          <w:color w:val="000000" w:themeColor="text1"/>
          <w:sz w:val="20"/>
          <w:szCs w:val="20"/>
        </w:rPr>
        <w:t xml:space="preserve">Business </w:t>
      </w:r>
      <w:proofErr w:type="spellStart"/>
      <w:r w:rsidR="005C377D" w:rsidRPr="00F54F7E">
        <w:rPr>
          <w:rFonts w:ascii="Verdana" w:hAnsi="Verdana" w:cs="Arial"/>
          <w:i/>
          <w:color w:val="000000" w:themeColor="text1"/>
          <w:sz w:val="20"/>
          <w:szCs w:val="20"/>
        </w:rPr>
        <w:t>Intelligence</w:t>
      </w:r>
      <w:proofErr w:type="spellEnd"/>
      <w:r w:rsidR="005C377D" w:rsidRPr="007D5094">
        <w:rPr>
          <w:rFonts w:ascii="Verdana" w:hAnsi="Verdana" w:cs="Arial"/>
          <w:color w:val="000000" w:themeColor="text1"/>
          <w:sz w:val="20"/>
          <w:szCs w:val="20"/>
        </w:rPr>
        <w:t>)</w:t>
      </w:r>
      <w:r>
        <w:rPr>
          <w:rFonts w:ascii="Verdana" w:hAnsi="Verdana" w:cs="Arial"/>
          <w:color w:val="000000" w:themeColor="text1"/>
          <w:sz w:val="20"/>
          <w:szCs w:val="20"/>
        </w:rPr>
        <w:t>.</w:t>
      </w:r>
    </w:p>
    <w:p w:rsidR="005C377D" w:rsidRDefault="005C377D" w:rsidP="007D5094">
      <w:pPr>
        <w:jc w:val="both"/>
        <w:rPr>
          <w:rFonts w:ascii="Verdana" w:hAnsi="Verdana"/>
          <w:color w:val="000000" w:themeColor="text1"/>
          <w:sz w:val="20"/>
          <w:szCs w:val="20"/>
        </w:rPr>
      </w:pPr>
      <w:r w:rsidRPr="007D5094">
        <w:rPr>
          <w:rFonts w:ascii="Verdana" w:hAnsi="Verdana"/>
          <w:color w:val="000000" w:themeColor="text1"/>
          <w:sz w:val="20"/>
          <w:szCs w:val="20"/>
        </w:rPr>
        <w:t> </w:t>
      </w:r>
    </w:p>
    <w:p w:rsidR="007D5094" w:rsidRDefault="007D5094" w:rsidP="007D5094">
      <w:pPr>
        <w:jc w:val="both"/>
        <w:rPr>
          <w:rFonts w:ascii="Verdana" w:hAnsi="Verdana"/>
          <w:color w:val="000000" w:themeColor="text1"/>
          <w:sz w:val="20"/>
          <w:szCs w:val="20"/>
        </w:rPr>
      </w:pPr>
    </w:p>
    <w:p w:rsidR="007D5094" w:rsidRDefault="007D5094" w:rsidP="007D5094">
      <w:pPr>
        <w:jc w:val="both"/>
        <w:rPr>
          <w:rFonts w:ascii="Verdana" w:hAnsi="Verdana"/>
          <w:color w:val="000000" w:themeColor="text1"/>
          <w:sz w:val="20"/>
          <w:szCs w:val="20"/>
        </w:rPr>
      </w:pPr>
    </w:p>
    <w:p w:rsidR="007D5094" w:rsidRDefault="007D5094" w:rsidP="007D5094">
      <w:pPr>
        <w:jc w:val="both"/>
        <w:rPr>
          <w:rFonts w:ascii="Verdana" w:hAnsi="Verdana"/>
          <w:color w:val="000000" w:themeColor="text1"/>
          <w:sz w:val="20"/>
          <w:szCs w:val="20"/>
        </w:rPr>
      </w:pPr>
    </w:p>
    <w:p w:rsidR="007D5094" w:rsidRPr="007D5094" w:rsidRDefault="007D5094" w:rsidP="007D5094">
      <w:pPr>
        <w:jc w:val="both"/>
        <w:rPr>
          <w:rFonts w:ascii="Verdana" w:hAnsi="Verdana"/>
          <w:color w:val="000000" w:themeColor="text1"/>
          <w:sz w:val="20"/>
          <w:szCs w:val="20"/>
        </w:rPr>
      </w:pPr>
    </w:p>
    <w:p w:rsidR="005C377D" w:rsidRPr="007D5094" w:rsidRDefault="005C377D" w:rsidP="007D5094">
      <w:pPr>
        <w:jc w:val="both"/>
        <w:rPr>
          <w:rFonts w:ascii="Verdana" w:hAnsi="Verdana"/>
          <w:color w:val="000000" w:themeColor="text1"/>
          <w:sz w:val="20"/>
          <w:szCs w:val="20"/>
        </w:rPr>
      </w:pPr>
      <w:r w:rsidRPr="007D5094">
        <w:rPr>
          <w:rFonts w:ascii="Verdana" w:hAnsi="Verdana"/>
          <w:b/>
          <w:bCs/>
          <w:color w:val="000000" w:themeColor="text1"/>
          <w:sz w:val="20"/>
          <w:szCs w:val="20"/>
        </w:rPr>
        <w:t>Servicios TI</w:t>
      </w:r>
      <w:r w:rsidR="007D5094">
        <w:rPr>
          <w:rFonts w:ascii="Verdana" w:hAnsi="Verdana"/>
          <w:bCs/>
          <w:color w:val="000000" w:themeColor="text1"/>
          <w:sz w:val="20"/>
          <w:szCs w:val="20"/>
        </w:rPr>
        <w:t>. La</w:t>
      </w:r>
      <w:r w:rsidR="00F54F7E">
        <w:rPr>
          <w:rFonts w:ascii="Verdana" w:hAnsi="Verdana"/>
          <w:bCs/>
          <w:color w:val="000000" w:themeColor="text1"/>
          <w:sz w:val="20"/>
          <w:szCs w:val="20"/>
        </w:rPr>
        <w:t xml:space="preserve"> necesidad de la</w:t>
      </w:r>
      <w:r w:rsidR="007D5094">
        <w:rPr>
          <w:rFonts w:ascii="Verdana" w:hAnsi="Verdana"/>
          <w:bCs/>
          <w:color w:val="000000" w:themeColor="text1"/>
          <w:sz w:val="20"/>
          <w:szCs w:val="20"/>
        </w:rPr>
        <w:t xml:space="preserve"> </w:t>
      </w:r>
      <w:r w:rsidR="00EC7F71">
        <w:rPr>
          <w:rFonts w:ascii="Verdana" w:hAnsi="Verdana"/>
          <w:bCs/>
          <w:color w:val="000000" w:themeColor="text1"/>
          <w:sz w:val="20"/>
          <w:szCs w:val="20"/>
        </w:rPr>
        <w:t>trasformación</w:t>
      </w:r>
      <w:r w:rsidR="007D5094">
        <w:rPr>
          <w:rFonts w:ascii="Verdana" w:hAnsi="Verdana"/>
          <w:bCs/>
          <w:color w:val="000000" w:themeColor="text1"/>
          <w:sz w:val="20"/>
          <w:szCs w:val="20"/>
        </w:rPr>
        <w:t xml:space="preserve"> dig</w:t>
      </w:r>
      <w:r w:rsidR="00BE785C">
        <w:rPr>
          <w:rFonts w:ascii="Verdana" w:hAnsi="Verdana"/>
          <w:bCs/>
          <w:color w:val="000000" w:themeColor="text1"/>
          <w:sz w:val="20"/>
          <w:szCs w:val="20"/>
        </w:rPr>
        <w:t>ital</w:t>
      </w:r>
      <w:r w:rsidR="00F54F7E">
        <w:rPr>
          <w:rFonts w:ascii="Verdana" w:hAnsi="Verdana"/>
          <w:bCs/>
          <w:color w:val="000000" w:themeColor="text1"/>
          <w:sz w:val="20"/>
          <w:szCs w:val="20"/>
        </w:rPr>
        <w:t xml:space="preserve"> </w:t>
      </w:r>
      <w:r w:rsidR="00BE785C">
        <w:rPr>
          <w:rFonts w:ascii="Verdana" w:hAnsi="Verdana"/>
          <w:bCs/>
          <w:color w:val="000000" w:themeColor="text1"/>
          <w:sz w:val="20"/>
          <w:szCs w:val="20"/>
        </w:rPr>
        <w:t xml:space="preserve">y el </w:t>
      </w:r>
      <w:r w:rsidR="00EC7F71">
        <w:rPr>
          <w:rFonts w:ascii="Verdana" w:hAnsi="Verdana"/>
          <w:bCs/>
          <w:color w:val="000000" w:themeColor="text1"/>
          <w:sz w:val="20"/>
          <w:szCs w:val="20"/>
        </w:rPr>
        <w:t>repunte</w:t>
      </w:r>
      <w:r w:rsidR="00BE785C">
        <w:rPr>
          <w:rFonts w:ascii="Verdana" w:hAnsi="Verdana"/>
          <w:bCs/>
          <w:color w:val="000000" w:themeColor="text1"/>
          <w:sz w:val="20"/>
          <w:szCs w:val="20"/>
        </w:rPr>
        <w:t xml:space="preserve"> de la economía</w:t>
      </w:r>
      <w:r w:rsidR="00F54F7E">
        <w:rPr>
          <w:rFonts w:ascii="Verdana" w:hAnsi="Verdana"/>
          <w:bCs/>
          <w:color w:val="000000" w:themeColor="text1"/>
          <w:sz w:val="20"/>
          <w:szCs w:val="20"/>
        </w:rPr>
        <w:t>,</w:t>
      </w:r>
      <w:r w:rsidR="00BE785C">
        <w:rPr>
          <w:rFonts w:ascii="Verdana" w:hAnsi="Verdana"/>
          <w:bCs/>
          <w:color w:val="000000" w:themeColor="text1"/>
          <w:sz w:val="20"/>
          <w:szCs w:val="20"/>
        </w:rPr>
        <w:t xml:space="preserve"> elementos favorecedores.</w:t>
      </w:r>
    </w:p>
    <w:p w:rsidR="005C377D" w:rsidRPr="007D5094" w:rsidRDefault="005C377D" w:rsidP="007D5094">
      <w:pPr>
        <w:jc w:val="both"/>
        <w:rPr>
          <w:rFonts w:ascii="Verdana" w:hAnsi="Verdana"/>
          <w:color w:val="000000" w:themeColor="text1"/>
          <w:sz w:val="20"/>
          <w:szCs w:val="20"/>
        </w:rPr>
      </w:pPr>
      <w:r w:rsidRPr="007D5094">
        <w:rPr>
          <w:rFonts w:ascii="Verdana" w:hAnsi="Verdana"/>
          <w:b/>
          <w:bCs/>
          <w:color w:val="000000" w:themeColor="text1"/>
          <w:sz w:val="20"/>
          <w:szCs w:val="20"/>
        </w:rPr>
        <w:t> </w:t>
      </w:r>
    </w:p>
    <w:p w:rsidR="005C377D" w:rsidRDefault="005C377D" w:rsidP="007D5094">
      <w:pPr>
        <w:jc w:val="both"/>
        <w:rPr>
          <w:rFonts w:ascii="Verdana" w:hAnsi="Verdana" w:cs="Arial"/>
          <w:color w:val="000000" w:themeColor="text1"/>
          <w:sz w:val="20"/>
          <w:szCs w:val="20"/>
        </w:rPr>
      </w:pPr>
      <w:r w:rsidRPr="007D5094">
        <w:rPr>
          <w:rFonts w:ascii="Verdana" w:hAnsi="Verdana" w:cs="Arial"/>
          <w:color w:val="000000" w:themeColor="text1"/>
          <w:sz w:val="20"/>
          <w:szCs w:val="20"/>
        </w:rPr>
        <w:t>Aunque la transformación digital y la innovación aparecen como prioridades dentro de las estrategias empresariales, siguen siendo las reducciones de costes y la eficiencia operacional los aspectos que más influyen en el crecimiento del sector TI</w:t>
      </w:r>
      <w:r w:rsidRPr="00BE785C">
        <w:rPr>
          <w:rFonts w:ascii="Verdana" w:hAnsi="Verdana" w:cs="Arial"/>
          <w:color w:val="000000" w:themeColor="text1"/>
          <w:sz w:val="20"/>
          <w:szCs w:val="20"/>
        </w:rPr>
        <w:t>.</w:t>
      </w:r>
      <w:r w:rsidR="007D5094" w:rsidRPr="00BE785C">
        <w:rPr>
          <w:rFonts w:ascii="Verdana" w:hAnsi="Verdana" w:cs="Arial"/>
          <w:color w:val="000000" w:themeColor="text1"/>
          <w:sz w:val="20"/>
          <w:szCs w:val="20"/>
        </w:rPr>
        <w:t xml:space="preserve"> </w:t>
      </w:r>
      <w:r w:rsidRPr="00BE785C">
        <w:rPr>
          <w:rFonts w:ascii="Verdana" w:hAnsi="Verdana"/>
          <w:color w:val="000000" w:themeColor="text1"/>
          <w:sz w:val="20"/>
          <w:szCs w:val="20"/>
        </w:rPr>
        <w:t> </w:t>
      </w:r>
      <w:r w:rsidRPr="00BE785C">
        <w:rPr>
          <w:rFonts w:ascii="Verdana" w:hAnsi="Verdana" w:cs="Arial"/>
          <w:color w:val="000000" w:themeColor="text1"/>
          <w:sz w:val="20"/>
          <w:szCs w:val="20"/>
        </w:rPr>
        <w:t>La transformación digital está en la agenda de las principales empresas como una de sus principales prioridades</w:t>
      </w:r>
      <w:r w:rsidR="007D5094">
        <w:rPr>
          <w:rFonts w:ascii="Verdana" w:hAnsi="Verdana" w:cs="Arial"/>
          <w:color w:val="000000" w:themeColor="text1"/>
          <w:sz w:val="20"/>
          <w:szCs w:val="20"/>
        </w:rPr>
        <w:t xml:space="preserve"> (gran</w:t>
      </w:r>
      <w:r w:rsidRPr="007D5094">
        <w:rPr>
          <w:rFonts w:ascii="Verdana" w:hAnsi="Verdana" w:cs="Arial"/>
          <w:color w:val="000000" w:themeColor="text1"/>
          <w:sz w:val="20"/>
          <w:szCs w:val="20"/>
        </w:rPr>
        <w:t xml:space="preserve"> parte de los ejecutivos creen que la transformación digital les proporcionará una ventaja competitiva y por el contrario perderán competitividad si no abordan este tipo de proyectos) y ello ha llevado aparejado el lanzamiento de</w:t>
      </w:r>
      <w:r w:rsidR="00BE785C">
        <w:rPr>
          <w:rFonts w:ascii="Verdana" w:hAnsi="Verdana" w:cs="Arial"/>
          <w:color w:val="000000" w:themeColor="text1"/>
          <w:sz w:val="20"/>
          <w:szCs w:val="20"/>
        </w:rPr>
        <w:t xml:space="preserve"> nuevos</w:t>
      </w:r>
      <w:r w:rsidRPr="007D5094">
        <w:rPr>
          <w:rFonts w:ascii="Verdana" w:hAnsi="Verdana" w:cs="Arial"/>
          <w:color w:val="000000" w:themeColor="text1"/>
          <w:sz w:val="20"/>
          <w:szCs w:val="20"/>
        </w:rPr>
        <w:t xml:space="preserve"> proyectos de transformación</w:t>
      </w:r>
      <w:r w:rsidR="00BE785C">
        <w:rPr>
          <w:rFonts w:ascii="Verdana" w:hAnsi="Verdana" w:cs="Arial"/>
          <w:color w:val="000000" w:themeColor="text1"/>
          <w:sz w:val="20"/>
          <w:szCs w:val="20"/>
        </w:rPr>
        <w:t xml:space="preserve">. </w:t>
      </w:r>
      <w:r w:rsidRPr="007D5094">
        <w:rPr>
          <w:rFonts w:ascii="Verdana" w:hAnsi="Verdana" w:cs="Arial"/>
          <w:color w:val="000000" w:themeColor="text1"/>
          <w:sz w:val="20"/>
          <w:szCs w:val="20"/>
        </w:rPr>
        <w:t>Entre los sectores que más han influido en este crecimiento se encuentra el financiero.</w:t>
      </w:r>
      <w:r w:rsidR="00BE785C">
        <w:rPr>
          <w:rFonts w:ascii="Verdana" w:hAnsi="Verdana" w:cs="Arial"/>
          <w:color w:val="000000" w:themeColor="text1"/>
          <w:sz w:val="20"/>
          <w:szCs w:val="20"/>
        </w:rPr>
        <w:t xml:space="preserve"> </w:t>
      </w:r>
    </w:p>
    <w:p w:rsidR="00BE785C" w:rsidRDefault="00BE785C" w:rsidP="007D5094">
      <w:pPr>
        <w:jc w:val="both"/>
        <w:rPr>
          <w:rFonts w:ascii="Verdana" w:hAnsi="Verdana" w:cs="Arial"/>
          <w:color w:val="000000" w:themeColor="text1"/>
          <w:sz w:val="20"/>
          <w:szCs w:val="20"/>
        </w:rPr>
      </w:pPr>
    </w:p>
    <w:p w:rsidR="005C377D" w:rsidRPr="007D5094" w:rsidRDefault="00F54F7E" w:rsidP="007D5094">
      <w:pPr>
        <w:jc w:val="both"/>
        <w:rPr>
          <w:rFonts w:ascii="Verdana" w:hAnsi="Verdana" w:cs="Arial"/>
          <w:color w:val="000000" w:themeColor="text1"/>
          <w:sz w:val="20"/>
          <w:szCs w:val="20"/>
        </w:rPr>
      </w:pPr>
      <w:r>
        <w:rPr>
          <w:rFonts w:ascii="Verdana" w:hAnsi="Verdana" w:cs="Arial"/>
          <w:color w:val="000000" w:themeColor="text1"/>
          <w:sz w:val="20"/>
          <w:szCs w:val="20"/>
        </w:rPr>
        <w:t>Y e</w:t>
      </w:r>
      <w:r w:rsidR="005C377D" w:rsidRPr="007D5094">
        <w:rPr>
          <w:rFonts w:ascii="Verdana" w:hAnsi="Verdana" w:cs="Arial"/>
          <w:color w:val="000000" w:themeColor="text1"/>
          <w:sz w:val="20"/>
          <w:szCs w:val="20"/>
        </w:rPr>
        <w:t>fectivamente el crecimiento de la economía lleva apa</w:t>
      </w:r>
      <w:r w:rsidR="00BE785C">
        <w:rPr>
          <w:rFonts w:ascii="Verdana" w:hAnsi="Verdana" w:cs="Arial"/>
          <w:color w:val="000000" w:themeColor="text1"/>
          <w:sz w:val="20"/>
          <w:szCs w:val="20"/>
        </w:rPr>
        <w:t>r</w:t>
      </w:r>
      <w:r w:rsidR="005C377D" w:rsidRPr="007D5094">
        <w:rPr>
          <w:rFonts w:ascii="Verdana" w:hAnsi="Verdana" w:cs="Arial"/>
          <w:color w:val="000000" w:themeColor="text1"/>
          <w:sz w:val="20"/>
          <w:szCs w:val="20"/>
        </w:rPr>
        <w:t xml:space="preserve">ejado el crecimiento del sector. En este sentido, el </w:t>
      </w:r>
      <w:r w:rsidR="00BE785C">
        <w:rPr>
          <w:rFonts w:ascii="Verdana" w:hAnsi="Verdana" w:cs="Arial"/>
          <w:color w:val="000000" w:themeColor="text1"/>
          <w:sz w:val="20"/>
          <w:szCs w:val="20"/>
        </w:rPr>
        <w:t>incremento</w:t>
      </w:r>
      <w:r w:rsidR="005C377D" w:rsidRPr="007D5094">
        <w:rPr>
          <w:rFonts w:ascii="Verdana" w:hAnsi="Verdana" w:cs="Arial"/>
          <w:color w:val="000000" w:themeColor="text1"/>
          <w:sz w:val="20"/>
          <w:szCs w:val="20"/>
        </w:rPr>
        <w:t xml:space="preserve"> del consumo en el 2015 (alrededor del 3%) ha impulsado el crecimiento del PIB  y han activado presupuestos en el sector de TI respecto a años anteriores.</w:t>
      </w:r>
      <w:r w:rsidR="00BE785C">
        <w:rPr>
          <w:rFonts w:ascii="Verdana" w:hAnsi="Verdana" w:cs="Arial"/>
          <w:color w:val="000000" w:themeColor="text1"/>
          <w:sz w:val="20"/>
          <w:szCs w:val="20"/>
        </w:rPr>
        <w:t xml:space="preserve"> Finalmente, l</w:t>
      </w:r>
      <w:r w:rsidR="005C377D" w:rsidRPr="007D5094">
        <w:rPr>
          <w:rFonts w:ascii="Verdana" w:hAnsi="Verdana" w:cs="Arial"/>
          <w:color w:val="000000" w:themeColor="text1"/>
          <w:sz w:val="20"/>
          <w:szCs w:val="20"/>
        </w:rPr>
        <w:t>a recuperación de nuestra economía ha provocado el re-lanzamiento de planes de inversión que se están ejecutando en estos años.</w:t>
      </w:r>
    </w:p>
    <w:p w:rsidR="005C377D" w:rsidRPr="007D5094" w:rsidRDefault="005C377D" w:rsidP="00F54F7E">
      <w:pPr>
        <w:jc w:val="both"/>
        <w:rPr>
          <w:rFonts w:ascii="Verdana" w:hAnsi="Verdana" w:cs="Arial"/>
          <w:color w:val="000000" w:themeColor="text1"/>
          <w:sz w:val="20"/>
          <w:szCs w:val="20"/>
        </w:rPr>
      </w:pPr>
      <w:r w:rsidRPr="007D5094">
        <w:rPr>
          <w:rFonts w:ascii="Verdana" w:hAnsi="Verdana" w:cs="Arial"/>
          <w:color w:val="000000" w:themeColor="text1"/>
          <w:sz w:val="20"/>
          <w:szCs w:val="20"/>
        </w:rPr>
        <w:t> </w:t>
      </w:r>
    </w:p>
    <w:p w:rsidR="005C377D" w:rsidRPr="00BE785C" w:rsidRDefault="005C377D" w:rsidP="007D5094">
      <w:pPr>
        <w:jc w:val="both"/>
        <w:rPr>
          <w:rFonts w:ascii="Verdana" w:hAnsi="Verdana"/>
          <w:bCs/>
          <w:color w:val="000000" w:themeColor="text1"/>
          <w:sz w:val="20"/>
          <w:szCs w:val="20"/>
        </w:rPr>
      </w:pPr>
      <w:r w:rsidRPr="00BE785C">
        <w:rPr>
          <w:rFonts w:ascii="Verdana" w:hAnsi="Verdana"/>
          <w:b/>
          <w:bCs/>
          <w:color w:val="000000" w:themeColor="text1"/>
          <w:sz w:val="20"/>
          <w:szCs w:val="20"/>
        </w:rPr>
        <w:t>Empleo TI</w:t>
      </w:r>
      <w:r w:rsidR="00BE785C">
        <w:rPr>
          <w:rFonts w:ascii="Verdana" w:hAnsi="Verdana"/>
          <w:bCs/>
          <w:color w:val="000000" w:themeColor="text1"/>
          <w:sz w:val="20"/>
          <w:szCs w:val="20"/>
        </w:rPr>
        <w:t>. Las empresas consiguen atraer y retener talento.</w:t>
      </w:r>
    </w:p>
    <w:p w:rsidR="00BE785C" w:rsidRPr="00BE785C" w:rsidRDefault="00BE785C" w:rsidP="007D5094">
      <w:pPr>
        <w:jc w:val="both"/>
        <w:rPr>
          <w:rFonts w:ascii="Verdana" w:hAnsi="Verdana"/>
          <w:b/>
          <w:color w:val="000000" w:themeColor="text1"/>
          <w:sz w:val="20"/>
          <w:szCs w:val="20"/>
        </w:rPr>
      </w:pPr>
    </w:p>
    <w:p w:rsidR="005C377D" w:rsidRPr="007D5094" w:rsidRDefault="00BE785C" w:rsidP="007D5094">
      <w:pPr>
        <w:jc w:val="both"/>
        <w:rPr>
          <w:rFonts w:ascii="Verdana" w:hAnsi="Verdana" w:cs="Arial"/>
          <w:color w:val="000000" w:themeColor="text1"/>
          <w:sz w:val="20"/>
          <w:szCs w:val="20"/>
        </w:rPr>
      </w:pPr>
      <w:r w:rsidRPr="00BE785C">
        <w:rPr>
          <w:rFonts w:ascii="Verdana" w:hAnsi="Verdana"/>
          <w:bCs/>
          <w:color w:val="000000" w:themeColor="text1"/>
          <w:sz w:val="20"/>
          <w:szCs w:val="20"/>
        </w:rPr>
        <w:t>P</w:t>
      </w:r>
      <w:r w:rsidR="005C377D" w:rsidRPr="007D5094">
        <w:rPr>
          <w:rFonts w:ascii="Verdana" w:hAnsi="Verdana" w:cs="Arial"/>
          <w:color w:val="000000" w:themeColor="text1"/>
          <w:sz w:val="20"/>
          <w:szCs w:val="20"/>
        </w:rPr>
        <w:t>ese a la reducción de márgenes, las empresas del sector TI españolas han conseguido atraer y retener un talento de muy alto nivel que les sigue permitiendo ofrecer un servicio competitivo y de alta calidad realizando un importante esfuerzo en aumentar su número de empleados. En este contexto, han tenido una gran influencia las empresas del segmento de Servicios y Consultoría TI.</w:t>
      </w:r>
    </w:p>
    <w:p w:rsidR="005C377D" w:rsidRPr="007D5094" w:rsidRDefault="005C377D" w:rsidP="007D5094">
      <w:pPr>
        <w:jc w:val="both"/>
        <w:rPr>
          <w:rFonts w:ascii="Verdana" w:hAnsi="Verdana"/>
          <w:color w:val="000000" w:themeColor="text1"/>
          <w:sz w:val="20"/>
          <w:szCs w:val="20"/>
        </w:rPr>
      </w:pPr>
      <w:r w:rsidRPr="007D5094">
        <w:rPr>
          <w:rFonts w:ascii="Verdana" w:hAnsi="Verdana"/>
          <w:color w:val="000000" w:themeColor="text1"/>
          <w:sz w:val="20"/>
          <w:szCs w:val="20"/>
        </w:rPr>
        <w:t> </w:t>
      </w:r>
    </w:p>
    <w:p w:rsidR="00F54F7E" w:rsidRDefault="00F54F7E" w:rsidP="00055769">
      <w:pPr>
        <w:pStyle w:val="Sinespaciado"/>
        <w:jc w:val="both"/>
        <w:rPr>
          <w:rFonts w:ascii="Verdana" w:hAnsi="Verdana"/>
          <w:b/>
          <w:bCs/>
          <w:color w:val="000000"/>
          <w:sz w:val="18"/>
          <w:szCs w:val="18"/>
        </w:rPr>
      </w:pPr>
    </w:p>
    <w:tbl>
      <w:tblPr>
        <w:tblW w:w="0" w:type="auto"/>
        <w:tblInd w:w="846" w:type="dxa"/>
        <w:tblCellMar>
          <w:left w:w="0" w:type="dxa"/>
          <w:right w:w="0" w:type="dxa"/>
        </w:tblCellMar>
        <w:tblLook w:val="04A0" w:firstRow="1" w:lastRow="0" w:firstColumn="1" w:lastColumn="0" w:noHBand="0" w:noVBand="1"/>
      </w:tblPr>
      <w:tblGrid>
        <w:gridCol w:w="2123"/>
        <w:gridCol w:w="2041"/>
        <w:gridCol w:w="2041"/>
        <w:gridCol w:w="2041"/>
      </w:tblGrid>
      <w:tr w:rsidR="00780731" w:rsidRPr="00780731" w:rsidTr="00780731">
        <w:tc>
          <w:tcPr>
            <w:tcW w:w="2123" w:type="dxa"/>
            <w:tcBorders>
              <w:top w:val="single" w:sz="8" w:space="0" w:color="auto"/>
              <w:left w:val="single" w:sz="8"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rsidR="00780731" w:rsidRPr="00780731" w:rsidRDefault="00780731">
            <w:pPr>
              <w:jc w:val="center"/>
              <w:rPr>
                <w:rFonts w:ascii="Verdana" w:eastAsiaTheme="minorHAnsi" w:hAnsi="Verdana"/>
                <w:b/>
                <w:color w:val="000000" w:themeColor="text1"/>
                <w:sz w:val="20"/>
                <w:szCs w:val="20"/>
                <w:lang w:eastAsia="en-US"/>
              </w:rPr>
            </w:pPr>
            <w:r w:rsidRPr="00780731">
              <w:rPr>
                <w:rFonts w:ascii="Verdana" w:hAnsi="Verdana"/>
                <w:b/>
                <w:color w:val="000000" w:themeColor="text1"/>
                <w:sz w:val="20"/>
                <w:szCs w:val="20"/>
              </w:rPr>
              <w:t>Segmento</w:t>
            </w:r>
          </w:p>
        </w:tc>
        <w:tc>
          <w:tcPr>
            <w:tcW w:w="2041" w:type="dxa"/>
            <w:tcBorders>
              <w:top w:val="single" w:sz="8" w:space="0" w:color="auto"/>
              <w:left w:val="nil"/>
              <w:bottom w:val="single" w:sz="8" w:space="0" w:color="auto"/>
              <w:right w:val="single" w:sz="8" w:space="0" w:color="auto"/>
            </w:tcBorders>
            <w:shd w:val="clear" w:color="auto" w:fill="FDE9D9" w:themeFill="accent6" w:themeFillTint="33"/>
            <w:hideMark/>
          </w:tcPr>
          <w:p w:rsidR="00780731" w:rsidRPr="00780731" w:rsidRDefault="00780731">
            <w:pPr>
              <w:jc w:val="center"/>
              <w:rPr>
                <w:rFonts w:ascii="Verdana" w:eastAsiaTheme="minorHAnsi" w:hAnsi="Verdana"/>
                <w:b/>
                <w:color w:val="000000" w:themeColor="text1"/>
                <w:sz w:val="20"/>
                <w:szCs w:val="20"/>
                <w:lang w:eastAsia="en-US"/>
              </w:rPr>
            </w:pPr>
            <w:r w:rsidRPr="00780731">
              <w:rPr>
                <w:rFonts w:ascii="Verdana" w:hAnsi="Verdana"/>
                <w:b/>
                <w:color w:val="000000" w:themeColor="text1"/>
                <w:sz w:val="20"/>
                <w:szCs w:val="20"/>
              </w:rPr>
              <w:t>Mercado 2014</w:t>
            </w:r>
          </w:p>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(en M€)</w:t>
            </w:r>
          </w:p>
        </w:tc>
        <w:tc>
          <w:tcPr>
            <w:tcW w:w="2041" w:type="dxa"/>
            <w:tcBorders>
              <w:top w:val="single" w:sz="8" w:space="0" w:color="auto"/>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rsidR="00780731" w:rsidRPr="00780731" w:rsidRDefault="00780731">
            <w:pPr>
              <w:jc w:val="center"/>
              <w:rPr>
                <w:rFonts w:ascii="Verdana" w:eastAsiaTheme="minorHAnsi" w:hAnsi="Verdana"/>
                <w:b/>
                <w:color w:val="000000" w:themeColor="text1"/>
                <w:sz w:val="20"/>
                <w:szCs w:val="20"/>
                <w:lang w:eastAsia="en-US"/>
              </w:rPr>
            </w:pPr>
            <w:r w:rsidRPr="00780731">
              <w:rPr>
                <w:rFonts w:ascii="Verdana" w:hAnsi="Verdana"/>
                <w:b/>
                <w:color w:val="000000" w:themeColor="text1"/>
                <w:sz w:val="20"/>
                <w:szCs w:val="20"/>
              </w:rPr>
              <w:t>Crecimiento</w:t>
            </w:r>
          </w:p>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w:t>
            </w:r>
            <w:proofErr w:type="gramStart"/>
            <w:r w:rsidRPr="00780731">
              <w:rPr>
                <w:rFonts w:ascii="Verdana" w:hAnsi="Verdana"/>
                <w:color w:val="000000" w:themeColor="text1"/>
                <w:sz w:val="20"/>
                <w:szCs w:val="20"/>
              </w:rPr>
              <w:t>en</w:t>
            </w:r>
            <w:proofErr w:type="gramEnd"/>
            <w:r w:rsidRPr="00780731">
              <w:rPr>
                <w:rFonts w:ascii="Verdana" w:hAnsi="Verdana"/>
                <w:color w:val="000000" w:themeColor="text1"/>
                <w:sz w:val="20"/>
                <w:szCs w:val="20"/>
              </w:rPr>
              <w:t xml:space="preserve"> %)</w:t>
            </w:r>
          </w:p>
        </w:tc>
        <w:tc>
          <w:tcPr>
            <w:tcW w:w="2041" w:type="dxa"/>
            <w:tcBorders>
              <w:top w:val="single" w:sz="8" w:space="0" w:color="auto"/>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rsidR="00780731" w:rsidRPr="00780731" w:rsidRDefault="00780731">
            <w:pPr>
              <w:jc w:val="center"/>
              <w:rPr>
                <w:rFonts w:ascii="Verdana" w:eastAsiaTheme="minorHAnsi" w:hAnsi="Verdana"/>
                <w:b/>
                <w:color w:val="000000" w:themeColor="text1"/>
                <w:sz w:val="20"/>
                <w:szCs w:val="20"/>
                <w:lang w:eastAsia="en-US"/>
              </w:rPr>
            </w:pPr>
            <w:r w:rsidRPr="00780731">
              <w:rPr>
                <w:rFonts w:ascii="Verdana" w:hAnsi="Verdana"/>
                <w:b/>
                <w:color w:val="000000" w:themeColor="text1"/>
                <w:sz w:val="20"/>
                <w:szCs w:val="20"/>
              </w:rPr>
              <w:t>Mercado 2015</w:t>
            </w:r>
          </w:p>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(en M€)</w:t>
            </w:r>
          </w:p>
        </w:tc>
      </w:tr>
      <w:tr w:rsidR="00780731" w:rsidRPr="00780731" w:rsidTr="00780731">
        <w:tc>
          <w:tcPr>
            <w:tcW w:w="2123" w:type="dxa"/>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Hardware</w:t>
            </w:r>
          </w:p>
        </w:tc>
        <w:tc>
          <w:tcPr>
            <w:tcW w:w="2041" w:type="dxa"/>
            <w:tcBorders>
              <w:top w:val="nil"/>
              <w:left w:val="nil"/>
              <w:bottom w:val="single" w:sz="8" w:space="0" w:color="auto"/>
              <w:right w:val="single" w:sz="8" w:space="0" w:color="auto"/>
            </w:tcBorders>
            <w:shd w:val="clear" w:color="auto" w:fill="DAEEF3" w:themeFill="accent5" w:themeFillTint="33"/>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4.226</w:t>
            </w:r>
          </w:p>
        </w:tc>
        <w:tc>
          <w:tcPr>
            <w:tcW w:w="2041"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7,3%</w:t>
            </w:r>
          </w:p>
        </w:tc>
        <w:tc>
          <w:tcPr>
            <w:tcW w:w="2041"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4.534</w:t>
            </w:r>
          </w:p>
        </w:tc>
      </w:tr>
      <w:tr w:rsidR="00780731" w:rsidRPr="00780731" w:rsidTr="00780731">
        <w:tc>
          <w:tcPr>
            <w:tcW w:w="2123"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Software</w:t>
            </w:r>
          </w:p>
        </w:tc>
        <w:tc>
          <w:tcPr>
            <w:tcW w:w="2041" w:type="dxa"/>
            <w:tcBorders>
              <w:top w:val="nil"/>
              <w:left w:val="nil"/>
              <w:bottom w:val="single" w:sz="8" w:space="0" w:color="auto"/>
              <w:right w:val="single" w:sz="8" w:space="0" w:color="auto"/>
            </w:tcBorders>
            <w:shd w:val="clear" w:color="auto" w:fill="EAF1DD" w:themeFill="accent3" w:themeFillTint="33"/>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2.894</w:t>
            </w:r>
          </w:p>
        </w:tc>
        <w:tc>
          <w:tcPr>
            <w:tcW w:w="2041"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3,4%</w:t>
            </w:r>
          </w:p>
        </w:tc>
        <w:tc>
          <w:tcPr>
            <w:tcW w:w="2041"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2.992</w:t>
            </w:r>
          </w:p>
        </w:tc>
      </w:tr>
      <w:tr w:rsidR="00780731" w:rsidRPr="00780731" w:rsidTr="00780731">
        <w:tc>
          <w:tcPr>
            <w:tcW w:w="2123" w:type="dxa"/>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Servicios TI</w:t>
            </w:r>
          </w:p>
        </w:tc>
        <w:tc>
          <w:tcPr>
            <w:tcW w:w="2041" w:type="dxa"/>
            <w:tcBorders>
              <w:top w:val="nil"/>
              <w:left w:val="nil"/>
              <w:bottom w:val="single" w:sz="8" w:space="0" w:color="auto"/>
              <w:right w:val="single" w:sz="8" w:space="0" w:color="auto"/>
            </w:tcBorders>
            <w:shd w:val="clear" w:color="auto" w:fill="F2DBDB" w:themeFill="accent2" w:themeFillTint="33"/>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14.097</w:t>
            </w:r>
          </w:p>
        </w:tc>
        <w:tc>
          <w:tcPr>
            <w:tcW w:w="2041"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7,6%</w:t>
            </w:r>
          </w:p>
        </w:tc>
        <w:tc>
          <w:tcPr>
            <w:tcW w:w="2041"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15.168</w:t>
            </w:r>
          </w:p>
        </w:tc>
      </w:tr>
      <w:tr w:rsidR="00780731" w:rsidRPr="00780731" w:rsidTr="00780731">
        <w:tc>
          <w:tcPr>
            <w:tcW w:w="2123"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Total TI</w:t>
            </w:r>
          </w:p>
        </w:tc>
        <w:tc>
          <w:tcPr>
            <w:tcW w:w="2041" w:type="dxa"/>
            <w:tcBorders>
              <w:top w:val="nil"/>
              <w:left w:val="nil"/>
              <w:bottom w:val="single" w:sz="8" w:space="0" w:color="auto"/>
              <w:right w:val="single" w:sz="8" w:space="0" w:color="auto"/>
            </w:tcBorders>
            <w:shd w:val="clear" w:color="auto" w:fill="DBE5F1" w:themeFill="accent1" w:themeFillTint="33"/>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21.217</w:t>
            </w:r>
          </w:p>
        </w:tc>
        <w:tc>
          <w:tcPr>
            <w:tcW w:w="204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7,0%</w:t>
            </w:r>
          </w:p>
        </w:tc>
        <w:tc>
          <w:tcPr>
            <w:tcW w:w="204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22.694</w:t>
            </w:r>
          </w:p>
        </w:tc>
      </w:tr>
      <w:tr w:rsidR="00780731" w:rsidRPr="00780731" w:rsidTr="00780731">
        <w:tc>
          <w:tcPr>
            <w:tcW w:w="2123"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780731" w:rsidRPr="00780731" w:rsidRDefault="00780731">
            <w:pPr>
              <w:jc w:val="cente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Datos empleo TI</w:t>
            </w:r>
          </w:p>
        </w:tc>
        <w:tc>
          <w:tcPr>
            <w:tcW w:w="2041" w:type="dxa"/>
            <w:tcBorders>
              <w:top w:val="nil"/>
              <w:left w:val="nil"/>
              <w:bottom w:val="single" w:sz="8" w:space="0" w:color="auto"/>
              <w:right w:val="nil"/>
            </w:tcBorders>
            <w:shd w:val="clear" w:color="auto" w:fill="DDD9C3" w:themeFill="background2" w:themeFillShade="E6"/>
          </w:tcPr>
          <w:p w:rsidR="00780731" w:rsidRPr="00780731" w:rsidRDefault="00780731">
            <w:pPr>
              <w:rPr>
                <w:rFonts w:ascii="Verdana" w:eastAsiaTheme="minorHAnsi" w:hAnsi="Verdana"/>
                <w:color w:val="000000" w:themeColor="text1"/>
                <w:sz w:val="20"/>
                <w:szCs w:val="20"/>
                <w:lang w:eastAsia="en-US"/>
              </w:rPr>
            </w:pPr>
          </w:p>
        </w:tc>
        <w:tc>
          <w:tcPr>
            <w:tcW w:w="4082" w:type="dxa"/>
            <w:gridSpan w:val="2"/>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780731" w:rsidRPr="00780731" w:rsidRDefault="00780731">
            <w:pPr>
              <w:rPr>
                <w:rFonts w:ascii="Verdana" w:eastAsiaTheme="minorHAnsi" w:hAnsi="Verdana"/>
                <w:color w:val="000000" w:themeColor="text1"/>
                <w:sz w:val="20"/>
                <w:szCs w:val="20"/>
                <w:lang w:eastAsia="en-US"/>
              </w:rPr>
            </w:pPr>
            <w:r w:rsidRPr="00780731">
              <w:rPr>
                <w:rFonts w:ascii="Verdana" w:hAnsi="Verdana"/>
                <w:color w:val="000000" w:themeColor="text1"/>
                <w:sz w:val="20"/>
                <w:szCs w:val="20"/>
              </w:rPr>
              <w:t>              1,8%</w:t>
            </w:r>
          </w:p>
        </w:tc>
      </w:tr>
    </w:tbl>
    <w:p w:rsidR="00780731" w:rsidRDefault="00780731" w:rsidP="00055769">
      <w:pPr>
        <w:pStyle w:val="Sinespaciado"/>
        <w:jc w:val="both"/>
        <w:rPr>
          <w:rFonts w:ascii="Verdana" w:hAnsi="Verdana"/>
          <w:b/>
          <w:bCs/>
          <w:color w:val="000000"/>
          <w:sz w:val="18"/>
          <w:szCs w:val="18"/>
        </w:rPr>
      </w:pPr>
    </w:p>
    <w:p w:rsidR="00780731" w:rsidRDefault="00780731" w:rsidP="00055769">
      <w:pPr>
        <w:pStyle w:val="Sinespaciado"/>
        <w:jc w:val="both"/>
        <w:rPr>
          <w:rFonts w:ascii="Verdana" w:hAnsi="Verdana"/>
          <w:b/>
          <w:bCs/>
          <w:color w:val="000000"/>
          <w:sz w:val="18"/>
          <w:szCs w:val="18"/>
        </w:rPr>
      </w:pPr>
    </w:p>
    <w:p w:rsidR="00780731" w:rsidRDefault="00780731" w:rsidP="00055769">
      <w:pPr>
        <w:pStyle w:val="Sinespaciado"/>
        <w:jc w:val="both"/>
        <w:rPr>
          <w:rFonts w:ascii="Verdana" w:hAnsi="Verdana"/>
          <w:b/>
          <w:bCs/>
          <w:color w:val="000000"/>
          <w:sz w:val="18"/>
          <w:szCs w:val="18"/>
        </w:rPr>
      </w:pPr>
    </w:p>
    <w:p w:rsidR="00055769" w:rsidRPr="005E700B" w:rsidRDefault="00055769" w:rsidP="00055769">
      <w:pPr>
        <w:pStyle w:val="Sinespaciado"/>
        <w:jc w:val="both"/>
        <w:rPr>
          <w:rFonts w:ascii="Verdana" w:hAnsi="Verdana"/>
          <w:b/>
          <w:bCs/>
          <w:color w:val="000000"/>
          <w:sz w:val="18"/>
          <w:szCs w:val="18"/>
        </w:rPr>
      </w:pPr>
      <w:r w:rsidRPr="005E700B">
        <w:rPr>
          <w:rFonts w:ascii="Verdana" w:hAnsi="Verdana"/>
          <w:b/>
          <w:bCs/>
          <w:color w:val="000000"/>
          <w:sz w:val="18"/>
          <w:szCs w:val="18"/>
        </w:rPr>
        <w:t xml:space="preserve">Sobre </w:t>
      </w:r>
      <w:r w:rsidR="00F54F7E" w:rsidRPr="005E700B">
        <w:rPr>
          <w:rFonts w:ascii="Verdana" w:hAnsi="Verdana"/>
          <w:b/>
          <w:bCs/>
          <w:color w:val="000000"/>
          <w:sz w:val="18"/>
          <w:szCs w:val="18"/>
        </w:rPr>
        <w:t>AMETIC</w:t>
      </w:r>
    </w:p>
    <w:p w:rsidR="00055769" w:rsidRPr="005E700B" w:rsidRDefault="00055769" w:rsidP="00055769">
      <w:pPr>
        <w:pStyle w:val="Sinespaciado"/>
        <w:jc w:val="both"/>
        <w:rPr>
          <w:rFonts w:ascii="Verdana" w:hAnsi="Verdana"/>
          <w:color w:val="000000"/>
          <w:sz w:val="18"/>
          <w:szCs w:val="18"/>
        </w:rPr>
      </w:pPr>
      <w:r w:rsidRPr="005E700B">
        <w:rPr>
          <w:rFonts w:ascii="Verdana" w:hAnsi="Verdana"/>
          <w:color w:val="000000"/>
          <w:sz w:val="18"/>
          <w:szCs w:val="18"/>
          <w:shd w:val="clear" w:color="auto" w:fill="FFFFFF"/>
        </w:rPr>
        <w:t>AMETIC, Asociación Multisectorial de Empresas de la Electrónica, las Tecnologías de la Información y Comunicación, de las Telecomunicaciones y de los Contenidos</w:t>
      </w:r>
      <w:r w:rsidRPr="005E700B">
        <w:rPr>
          <w:rStyle w:val="apple-converted-space"/>
          <w:rFonts w:ascii="Verdana" w:hAnsi="Verdana"/>
          <w:color w:val="000000"/>
          <w:sz w:val="18"/>
          <w:szCs w:val="18"/>
          <w:shd w:val="clear" w:color="auto" w:fill="FFFFFF"/>
        </w:rPr>
        <w:t xml:space="preserve"> </w:t>
      </w:r>
      <w:r w:rsidRPr="005E700B">
        <w:rPr>
          <w:rFonts w:ascii="Verdana" w:hAnsi="Verdana"/>
          <w:color w:val="000000"/>
          <w:sz w:val="18"/>
          <w:szCs w:val="18"/>
          <w:shd w:val="clear" w:color="auto" w:fill="FFFFFF"/>
        </w:rPr>
        <w:t xml:space="preserve">Digitales, </w:t>
      </w:r>
      <w:r w:rsidRPr="005E700B">
        <w:rPr>
          <w:rFonts w:ascii="Verdana" w:hAnsi="Verdana"/>
          <w:color w:val="000000"/>
          <w:sz w:val="18"/>
          <w:szCs w:val="18"/>
        </w:rPr>
        <w:t xml:space="preserve">lidera, en el ámbito nacional, los intereses empresariales de un </w:t>
      </w:r>
      <w:proofErr w:type="spellStart"/>
      <w:r w:rsidRPr="005E700B">
        <w:rPr>
          <w:rFonts w:ascii="Verdana" w:hAnsi="Verdana"/>
          <w:color w:val="000000"/>
          <w:sz w:val="18"/>
          <w:szCs w:val="18"/>
        </w:rPr>
        <w:t>hipersector</w:t>
      </w:r>
      <w:proofErr w:type="spellEnd"/>
      <w:r w:rsidRPr="005E700B">
        <w:rPr>
          <w:rFonts w:ascii="Verdana" w:hAnsi="Verdana"/>
          <w:color w:val="000000"/>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w:t>
      </w:r>
      <w:r w:rsidRPr="005E700B">
        <w:rPr>
          <w:rFonts w:ascii="Verdana" w:hAnsi="Verdana"/>
          <w:color w:val="000000"/>
          <w:sz w:val="18"/>
          <w:szCs w:val="18"/>
        </w:rPr>
        <w:lastRenderedPageBreak/>
        <w:t>sostenible, que incrementan la competitividad de otros sectores, que generan empleo de calidad, que incrementan nuestra tasa de exportación y que revalorizan a nuestro país y a su industria.</w:t>
      </w:r>
    </w:p>
    <w:p w:rsidR="00055769" w:rsidRPr="005E700B" w:rsidRDefault="006171AD" w:rsidP="00055769">
      <w:pPr>
        <w:autoSpaceDE w:val="0"/>
        <w:autoSpaceDN w:val="0"/>
        <w:adjustRightInd w:val="0"/>
        <w:jc w:val="both"/>
        <w:rPr>
          <w:rFonts w:ascii="Verdana" w:hAnsi="Verdana" w:cs="Arial"/>
          <w:color w:val="000000"/>
          <w:sz w:val="18"/>
          <w:szCs w:val="18"/>
          <w:u w:val="single"/>
        </w:rPr>
      </w:pPr>
      <w:hyperlink r:id="rId9" w:history="1">
        <w:r w:rsidR="00055769" w:rsidRPr="005E700B">
          <w:rPr>
            <w:rStyle w:val="Hipervnculo"/>
            <w:rFonts w:ascii="Verdana" w:hAnsi="Verdana" w:cs="Arial"/>
            <w:sz w:val="18"/>
            <w:szCs w:val="18"/>
          </w:rPr>
          <w:t>www.ametic.es</w:t>
        </w:r>
      </w:hyperlink>
    </w:p>
    <w:p w:rsidR="000E0D7E" w:rsidRPr="00B81326" w:rsidRDefault="000E0D7E" w:rsidP="007836B5">
      <w:pPr>
        <w:autoSpaceDE w:val="0"/>
        <w:autoSpaceDN w:val="0"/>
        <w:adjustRightInd w:val="0"/>
        <w:jc w:val="both"/>
        <w:rPr>
          <w:rFonts w:ascii="Verdana" w:hAnsi="Verdana" w:cs="Arial"/>
          <w:b/>
          <w:color w:val="404040" w:themeColor="text1" w:themeTint="BF"/>
          <w:sz w:val="18"/>
          <w:szCs w:val="18"/>
        </w:rPr>
      </w:pPr>
    </w:p>
    <w:p w:rsidR="00934349" w:rsidRPr="00B81326" w:rsidRDefault="008E759C">
      <w:pPr>
        <w:autoSpaceDE w:val="0"/>
        <w:autoSpaceDN w:val="0"/>
        <w:adjustRightInd w:val="0"/>
        <w:jc w:val="both"/>
        <w:rPr>
          <w:rFonts w:ascii="Verdana" w:hAnsi="Verdana" w:cs="Arial"/>
          <w:color w:val="404040" w:themeColor="text1" w:themeTint="BF"/>
          <w:sz w:val="18"/>
          <w:szCs w:val="18"/>
        </w:rPr>
      </w:pPr>
      <w:r w:rsidRPr="00B81326">
        <w:rPr>
          <w:rFonts w:ascii="Verdana" w:hAnsi="Verdana" w:cs="Arial"/>
          <w:noProof/>
          <w:color w:val="404040" w:themeColor="text1" w:themeTint="BF"/>
          <w:sz w:val="18"/>
          <w:szCs w:val="18"/>
        </w:rPr>
        <w:drawing>
          <wp:inline distT="0" distB="0" distL="0" distR="0" wp14:anchorId="551EBD0A" wp14:editId="17470B77">
            <wp:extent cx="1485900" cy="510988"/>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a:stretch>
                      <a:fillRect/>
                    </a:stretch>
                  </pic:blipFill>
                  <pic:spPr bwMode="auto">
                    <a:xfrm>
                      <a:off x="0" y="0"/>
                      <a:ext cx="1498843" cy="515439"/>
                    </a:xfrm>
                    <a:prstGeom prst="rect">
                      <a:avLst/>
                    </a:prstGeom>
                    <a:noFill/>
                    <a:ln w="9525">
                      <a:noFill/>
                      <a:miter lim="800000"/>
                      <a:headEnd/>
                      <a:tailEnd/>
                    </a:ln>
                  </pic:spPr>
                </pic:pic>
              </a:graphicData>
            </a:graphic>
          </wp:inline>
        </w:drawing>
      </w:r>
    </w:p>
    <w:sectPr w:rsidR="00934349" w:rsidRPr="00B81326" w:rsidSect="007E7EB7">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AD" w:rsidRDefault="006171AD" w:rsidP="009E1311">
      <w:r>
        <w:separator/>
      </w:r>
    </w:p>
  </w:endnote>
  <w:endnote w:type="continuationSeparator" w:id="0">
    <w:p w:rsidR="006171AD" w:rsidRDefault="006171AD"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AD" w:rsidRDefault="006171AD" w:rsidP="009E1311">
      <w:r>
        <w:separator/>
      </w:r>
    </w:p>
  </w:footnote>
  <w:footnote w:type="continuationSeparator" w:id="0">
    <w:p w:rsidR="006171AD" w:rsidRDefault="006171AD"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8E759C">
    <w:pPr>
      <w:pStyle w:val="Encabezado"/>
    </w:pPr>
    <w:r>
      <w:rPr>
        <w:noProof/>
        <w:lang w:eastAsia="es-ES"/>
      </w:rPr>
      <w:drawing>
        <wp:inline distT="0" distB="0" distL="0" distR="0" wp14:anchorId="52A3B42B" wp14:editId="6D43C064">
          <wp:extent cx="1908810" cy="781703"/>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13F0"/>
    <w:multiLevelType w:val="hybridMultilevel"/>
    <w:tmpl w:val="22927EDA"/>
    <w:lvl w:ilvl="0" w:tplc="E5F2F468">
      <w:start w:val="1"/>
      <w:numFmt w:val="bullet"/>
      <w:lvlText w:val=""/>
      <w:lvlJc w:val="left"/>
      <w:pPr>
        <w:ind w:left="720" w:hanging="360"/>
      </w:pPr>
      <w:rPr>
        <w:rFonts w:ascii="Wingdings" w:hAnsi="Wingdings" w:hint="default"/>
        <w:color w:val="99663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C352D5"/>
    <w:multiLevelType w:val="hybridMultilevel"/>
    <w:tmpl w:val="366418DE"/>
    <w:lvl w:ilvl="0" w:tplc="7E5C1A8E">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81045E"/>
    <w:multiLevelType w:val="hybridMultilevel"/>
    <w:tmpl w:val="D100A9DA"/>
    <w:lvl w:ilvl="0" w:tplc="E5F2F468">
      <w:start w:val="1"/>
      <w:numFmt w:val="bullet"/>
      <w:lvlText w:val=""/>
      <w:lvlJc w:val="left"/>
      <w:pPr>
        <w:ind w:left="720" w:hanging="360"/>
      </w:pPr>
      <w:rPr>
        <w:rFonts w:ascii="Wingdings" w:hAnsi="Wingdings" w:hint="default"/>
        <w:color w:val="99663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387"/>
    <w:rsid w:val="000634BB"/>
    <w:rsid w:val="000744A5"/>
    <w:rsid w:val="00080293"/>
    <w:rsid w:val="000852DE"/>
    <w:rsid w:val="00094988"/>
    <w:rsid w:val="000A222B"/>
    <w:rsid w:val="000A4415"/>
    <w:rsid w:val="000C3524"/>
    <w:rsid w:val="000C4837"/>
    <w:rsid w:val="000C56CD"/>
    <w:rsid w:val="000D1D7F"/>
    <w:rsid w:val="000E0D7E"/>
    <w:rsid w:val="000E269D"/>
    <w:rsid w:val="00102517"/>
    <w:rsid w:val="00106455"/>
    <w:rsid w:val="001150E4"/>
    <w:rsid w:val="00121461"/>
    <w:rsid w:val="001245EA"/>
    <w:rsid w:val="0013683D"/>
    <w:rsid w:val="00140167"/>
    <w:rsid w:val="00141569"/>
    <w:rsid w:val="00144426"/>
    <w:rsid w:val="001517BF"/>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2AD9"/>
    <w:rsid w:val="00235558"/>
    <w:rsid w:val="00235A15"/>
    <w:rsid w:val="00263502"/>
    <w:rsid w:val="002667A4"/>
    <w:rsid w:val="002711EF"/>
    <w:rsid w:val="002A4CCF"/>
    <w:rsid w:val="002A7163"/>
    <w:rsid w:val="002A7240"/>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7EF5"/>
    <w:rsid w:val="003605CA"/>
    <w:rsid w:val="00374326"/>
    <w:rsid w:val="0038440D"/>
    <w:rsid w:val="00391533"/>
    <w:rsid w:val="003A4905"/>
    <w:rsid w:val="003A5437"/>
    <w:rsid w:val="003C0867"/>
    <w:rsid w:val="003E2102"/>
    <w:rsid w:val="003E2EDD"/>
    <w:rsid w:val="003F1D4B"/>
    <w:rsid w:val="00403859"/>
    <w:rsid w:val="00406E9C"/>
    <w:rsid w:val="00413645"/>
    <w:rsid w:val="00414497"/>
    <w:rsid w:val="004164A2"/>
    <w:rsid w:val="0042728F"/>
    <w:rsid w:val="004300D0"/>
    <w:rsid w:val="00434A4F"/>
    <w:rsid w:val="00437B0D"/>
    <w:rsid w:val="00443BE5"/>
    <w:rsid w:val="00446CC2"/>
    <w:rsid w:val="004518F0"/>
    <w:rsid w:val="00455A2C"/>
    <w:rsid w:val="0045647E"/>
    <w:rsid w:val="0046417B"/>
    <w:rsid w:val="00473E59"/>
    <w:rsid w:val="00486F14"/>
    <w:rsid w:val="0049299F"/>
    <w:rsid w:val="004A5AE4"/>
    <w:rsid w:val="004B5110"/>
    <w:rsid w:val="004B56FC"/>
    <w:rsid w:val="004B74E8"/>
    <w:rsid w:val="004C2679"/>
    <w:rsid w:val="004D4073"/>
    <w:rsid w:val="004E10A8"/>
    <w:rsid w:val="004E424B"/>
    <w:rsid w:val="004E5B9B"/>
    <w:rsid w:val="004F110D"/>
    <w:rsid w:val="004F576B"/>
    <w:rsid w:val="005075DF"/>
    <w:rsid w:val="00511688"/>
    <w:rsid w:val="005167CF"/>
    <w:rsid w:val="00531EF6"/>
    <w:rsid w:val="00537F05"/>
    <w:rsid w:val="005533FA"/>
    <w:rsid w:val="0055430B"/>
    <w:rsid w:val="005569DF"/>
    <w:rsid w:val="005615D2"/>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77D"/>
    <w:rsid w:val="005C3E0D"/>
    <w:rsid w:val="005C7B7A"/>
    <w:rsid w:val="005D0A83"/>
    <w:rsid w:val="005E1CF7"/>
    <w:rsid w:val="005E700B"/>
    <w:rsid w:val="005F50C6"/>
    <w:rsid w:val="00601E99"/>
    <w:rsid w:val="006111E7"/>
    <w:rsid w:val="006171AD"/>
    <w:rsid w:val="00645548"/>
    <w:rsid w:val="00657330"/>
    <w:rsid w:val="00684936"/>
    <w:rsid w:val="00685FC1"/>
    <w:rsid w:val="006875DE"/>
    <w:rsid w:val="00691D11"/>
    <w:rsid w:val="00694A58"/>
    <w:rsid w:val="006B1108"/>
    <w:rsid w:val="006C39FD"/>
    <w:rsid w:val="006C421F"/>
    <w:rsid w:val="006D18EE"/>
    <w:rsid w:val="006D71E1"/>
    <w:rsid w:val="006E4507"/>
    <w:rsid w:val="006E5A3A"/>
    <w:rsid w:val="006E61AA"/>
    <w:rsid w:val="00702567"/>
    <w:rsid w:val="00704537"/>
    <w:rsid w:val="0071350A"/>
    <w:rsid w:val="00713CBB"/>
    <w:rsid w:val="00715D62"/>
    <w:rsid w:val="00717C48"/>
    <w:rsid w:val="00740355"/>
    <w:rsid w:val="007433C6"/>
    <w:rsid w:val="00767ABA"/>
    <w:rsid w:val="00770235"/>
    <w:rsid w:val="007702DA"/>
    <w:rsid w:val="0077328B"/>
    <w:rsid w:val="007769CC"/>
    <w:rsid w:val="00780731"/>
    <w:rsid w:val="007836B5"/>
    <w:rsid w:val="00785066"/>
    <w:rsid w:val="007853DA"/>
    <w:rsid w:val="007929E7"/>
    <w:rsid w:val="007A6B72"/>
    <w:rsid w:val="007B1ED8"/>
    <w:rsid w:val="007B3812"/>
    <w:rsid w:val="007D5094"/>
    <w:rsid w:val="007D756B"/>
    <w:rsid w:val="007E7EB7"/>
    <w:rsid w:val="007F3315"/>
    <w:rsid w:val="007F7FF3"/>
    <w:rsid w:val="0080303E"/>
    <w:rsid w:val="00805C46"/>
    <w:rsid w:val="00812901"/>
    <w:rsid w:val="00816F12"/>
    <w:rsid w:val="00816F41"/>
    <w:rsid w:val="00820D68"/>
    <w:rsid w:val="00821005"/>
    <w:rsid w:val="00833BDF"/>
    <w:rsid w:val="008379FD"/>
    <w:rsid w:val="00847672"/>
    <w:rsid w:val="00853884"/>
    <w:rsid w:val="008546FC"/>
    <w:rsid w:val="00872DE7"/>
    <w:rsid w:val="00876D2B"/>
    <w:rsid w:val="008934AE"/>
    <w:rsid w:val="008A4B5A"/>
    <w:rsid w:val="008A65A3"/>
    <w:rsid w:val="008A6669"/>
    <w:rsid w:val="008B02BA"/>
    <w:rsid w:val="008B1844"/>
    <w:rsid w:val="008B40D7"/>
    <w:rsid w:val="008C400C"/>
    <w:rsid w:val="008D42D5"/>
    <w:rsid w:val="008E759C"/>
    <w:rsid w:val="008F7530"/>
    <w:rsid w:val="0090019C"/>
    <w:rsid w:val="0090214A"/>
    <w:rsid w:val="00917C41"/>
    <w:rsid w:val="00920976"/>
    <w:rsid w:val="00934349"/>
    <w:rsid w:val="00940F1C"/>
    <w:rsid w:val="00961843"/>
    <w:rsid w:val="00980608"/>
    <w:rsid w:val="00980C35"/>
    <w:rsid w:val="009842E6"/>
    <w:rsid w:val="009927E2"/>
    <w:rsid w:val="00993F2C"/>
    <w:rsid w:val="009A6F59"/>
    <w:rsid w:val="009B48C1"/>
    <w:rsid w:val="009E1311"/>
    <w:rsid w:val="009E30EE"/>
    <w:rsid w:val="009E43BF"/>
    <w:rsid w:val="009F1688"/>
    <w:rsid w:val="00A04496"/>
    <w:rsid w:val="00A106C7"/>
    <w:rsid w:val="00A1087E"/>
    <w:rsid w:val="00A11DF6"/>
    <w:rsid w:val="00A16800"/>
    <w:rsid w:val="00A17B79"/>
    <w:rsid w:val="00A656BA"/>
    <w:rsid w:val="00A66227"/>
    <w:rsid w:val="00A91B23"/>
    <w:rsid w:val="00A978DD"/>
    <w:rsid w:val="00AA17AC"/>
    <w:rsid w:val="00AB3B8C"/>
    <w:rsid w:val="00AB5545"/>
    <w:rsid w:val="00AB6C34"/>
    <w:rsid w:val="00AB6EE7"/>
    <w:rsid w:val="00AD049C"/>
    <w:rsid w:val="00AE1144"/>
    <w:rsid w:val="00AE43BA"/>
    <w:rsid w:val="00AF03C8"/>
    <w:rsid w:val="00AF5F8D"/>
    <w:rsid w:val="00B02175"/>
    <w:rsid w:val="00B137F1"/>
    <w:rsid w:val="00B33BBD"/>
    <w:rsid w:val="00B407CF"/>
    <w:rsid w:val="00B6628B"/>
    <w:rsid w:val="00B73DF8"/>
    <w:rsid w:val="00B74E0D"/>
    <w:rsid w:val="00B76292"/>
    <w:rsid w:val="00B81326"/>
    <w:rsid w:val="00B932E9"/>
    <w:rsid w:val="00B93374"/>
    <w:rsid w:val="00B97BB5"/>
    <w:rsid w:val="00BA23DA"/>
    <w:rsid w:val="00BB34D1"/>
    <w:rsid w:val="00BB4687"/>
    <w:rsid w:val="00BB79E8"/>
    <w:rsid w:val="00BE785C"/>
    <w:rsid w:val="00BF36F3"/>
    <w:rsid w:val="00BF4AB0"/>
    <w:rsid w:val="00C00F30"/>
    <w:rsid w:val="00C038A9"/>
    <w:rsid w:val="00C2063E"/>
    <w:rsid w:val="00C26A84"/>
    <w:rsid w:val="00C300CB"/>
    <w:rsid w:val="00C405A8"/>
    <w:rsid w:val="00C52499"/>
    <w:rsid w:val="00C64A15"/>
    <w:rsid w:val="00C771C4"/>
    <w:rsid w:val="00C90CEE"/>
    <w:rsid w:val="00CA3C14"/>
    <w:rsid w:val="00CC6657"/>
    <w:rsid w:val="00CD1C83"/>
    <w:rsid w:val="00CD2E52"/>
    <w:rsid w:val="00CE30A6"/>
    <w:rsid w:val="00CE517A"/>
    <w:rsid w:val="00CE5881"/>
    <w:rsid w:val="00CF16F1"/>
    <w:rsid w:val="00CF1E1B"/>
    <w:rsid w:val="00D013DA"/>
    <w:rsid w:val="00D17E7D"/>
    <w:rsid w:val="00D221F3"/>
    <w:rsid w:val="00D230EE"/>
    <w:rsid w:val="00D23516"/>
    <w:rsid w:val="00D241FE"/>
    <w:rsid w:val="00D2691C"/>
    <w:rsid w:val="00D338C9"/>
    <w:rsid w:val="00D34324"/>
    <w:rsid w:val="00D53C71"/>
    <w:rsid w:val="00D54BDD"/>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E28A8"/>
    <w:rsid w:val="00DE5DCF"/>
    <w:rsid w:val="00DF0DC9"/>
    <w:rsid w:val="00E04554"/>
    <w:rsid w:val="00E42173"/>
    <w:rsid w:val="00E42DB9"/>
    <w:rsid w:val="00E57D55"/>
    <w:rsid w:val="00E64773"/>
    <w:rsid w:val="00E71A7A"/>
    <w:rsid w:val="00E8568A"/>
    <w:rsid w:val="00E9439C"/>
    <w:rsid w:val="00EA5B1A"/>
    <w:rsid w:val="00EA6FD5"/>
    <w:rsid w:val="00EB1F8B"/>
    <w:rsid w:val="00EC0B0D"/>
    <w:rsid w:val="00EC27C7"/>
    <w:rsid w:val="00EC53BC"/>
    <w:rsid w:val="00EC7F71"/>
    <w:rsid w:val="00EF5CFF"/>
    <w:rsid w:val="00EF6099"/>
    <w:rsid w:val="00F1528A"/>
    <w:rsid w:val="00F27058"/>
    <w:rsid w:val="00F32E88"/>
    <w:rsid w:val="00F37F4D"/>
    <w:rsid w:val="00F45B48"/>
    <w:rsid w:val="00F520F9"/>
    <w:rsid w:val="00F54F7E"/>
    <w:rsid w:val="00F77BDC"/>
    <w:rsid w:val="00FA0973"/>
    <w:rsid w:val="00FA5A05"/>
    <w:rsid w:val="00FA79E6"/>
    <w:rsid w:val="00FB1C18"/>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439298897">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 w:id="20730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BFA0-A1C7-4FA0-979D-46EDA5B9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7203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2014-05-13T14:32:00Z</cp:lastPrinted>
  <dcterms:created xsi:type="dcterms:W3CDTF">2016-07-12T15:03:00Z</dcterms:created>
  <dcterms:modified xsi:type="dcterms:W3CDTF">2016-07-12T15:03:00Z</dcterms:modified>
</cp:coreProperties>
</file>