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F16" w:rsidRPr="00CE7D9E" w:rsidRDefault="00106F16" w:rsidP="00106F16">
      <w:pPr>
        <w:autoSpaceDE w:val="0"/>
        <w:autoSpaceDN w:val="0"/>
        <w:adjustRightInd w:val="0"/>
        <w:rPr>
          <w:rFonts w:ascii="Verdana" w:hAnsi="Verdana" w:cs="Verdana,Bold"/>
          <w:b/>
          <w:bCs/>
          <w:color w:val="9A6633"/>
          <w:sz w:val="22"/>
          <w:szCs w:val="22"/>
        </w:rPr>
      </w:pPr>
      <w:r w:rsidRPr="00CE7D9E">
        <w:rPr>
          <w:rFonts w:ascii="Verdana" w:hAnsi="Verdana" w:cs="Verdana,Bold"/>
          <w:b/>
          <w:bCs/>
          <w:color w:val="9A6633"/>
          <w:sz w:val="22"/>
          <w:szCs w:val="22"/>
        </w:rPr>
        <w:t>Ley de Propiedad Intelectual</w:t>
      </w:r>
    </w:p>
    <w:p w:rsidR="00106F16" w:rsidRPr="00CE7D9E" w:rsidRDefault="00106F16" w:rsidP="00106F16">
      <w:pPr>
        <w:autoSpaceDE w:val="0"/>
        <w:autoSpaceDN w:val="0"/>
        <w:adjustRightInd w:val="0"/>
        <w:rPr>
          <w:rFonts w:ascii="Verdana" w:hAnsi="Verdana" w:cs="Verdana,Bold"/>
          <w:b/>
          <w:bCs/>
          <w:color w:val="9A6633"/>
          <w:sz w:val="20"/>
          <w:szCs w:val="20"/>
        </w:rPr>
      </w:pPr>
    </w:p>
    <w:p w:rsidR="00106F16" w:rsidRPr="00CE7D9E" w:rsidRDefault="00106F16" w:rsidP="00106F16">
      <w:pPr>
        <w:autoSpaceDE w:val="0"/>
        <w:autoSpaceDN w:val="0"/>
        <w:adjustRightInd w:val="0"/>
        <w:rPr>
          <w:rFonts w:ascii="Verdana" w:hAnsi="Verdana" w:cs="Verdana,Bold"/>
          <w:b/>
          <w:bCs/>
          <w:color w:val="9A6633"/>
          <w:sz w:val="20"/>
          <w:szCs w:val="20"/>
        </w:rPr>
      </w:pPr>
    </w:p>
    <w:p w:rsidR="00FC28DB" w:rsidRDefault="00FC28DB" w:rsidP="00106F16">
      <w:pPr>
        <w:autoSpaceDE w:val="0"/>
        <w:autoSpaceDN w:val="0"/>
        <w:adjustRightInd w:val="0"/>
        <w:jc w:val="center"/>
        <w:rPr>
          <w:rFonts w:ascii="Verdana" w:hAnsi="Verdana" w:cs="Verdana,Bold"/>
          <w:b/>
          <w:bCs/>
          <w:color w:val="9A6633"/>
        </w:rPr>
      </w:pPr>
      <w:r>
        <w:rPr>
          <w:rFonts w:ascii="Verdana" w:hAnsi="Verdana" w:cs="Verdana,Bold"/>
          <w:b/>
          <w:bCs/>
          <w:color w:val="9A6633"/>
        </w:rPr>
        <w:t xml:space="preserve">AMETIC solicita al Gobierno que se realice </w:t>
      </w:r>
      <w:r w:rsidRPr="00FC28DB">
        <w:rPr>
          <w:rFonts w:ascii="Verdana" w:hAnsi="Verdana" w:cs="Verdana,Bold"/>
          <w:b/>
          <w:bCs/>
          <w:color w:val="9A6633"/>
        </w:rPr>
        <w:t>un esfuerzo de análisis y de colaboración para adoptar el modelo</w:t>
      </w:r>
      <w:r>
        <w:rPr>
          <w:rFonts w:ascii="Verdana" w:hAnsi="Verdana" w:cs="Verdana,Bold"/>
          <w:b/>
          <w:bCs/>
          <w:color w:val="9A6633"/>
        </w:rPr>
        <w:t xml:space="preserve"> de compensación equitativa</w:t>
      </w:r>
      <w:r w:rsidRPr="00FC28DB">
        <w:rPr>
          <w:rFonts w:ascii="Verdana" w:hAnsi="Verdana" w:cs="Verdana,Bold"/>
          <w:b/>
          <w:bCs/>
          <w:color w:val="9A6633"/>
        </w:rPr>
        <w:t xml:space="preserve"> más eficiente que garantice la protección de la propiedad intelectual</w:t>
      </w:r>
    </w:p>
    <w:p w:rsidR="00106F16" w:rsidRPr="00CE7D9E" w:rsidRDefault="00106F16" w:rsidP="00106F16">
      <w:pPr>
        <w:autoSpaceDE w:val="0"/>
        <w:autoSpaceDN w:val="0"/>
        <w:adjustRightInd w:val="0"/>
        <w:rPr>
          <w:rFonts w:ascii="Verdana" w:hAnsi="Verdana" w:cs="Verdana,Bold"/>
          <w:b/>
          <w:bCs/>
          <w:color w:val="9A6633"/>
          <w:sz w:val="22"/>
          <w:szCs w:val="22"/>
        </w:rPr>
      </w:pPr>
    </w:p>
    <w:p w:rsidR="00106F16" w:rsidRPr="00CE7D9E" w:rsidRDefault="00106F16" w:rsidP="00106F16">
      <w:pPr>
        <w:pStyle w:val="Prrafodelista"/>
        <w:autoSpaceDE w:val="0"/>
        <w:autoSpaceDN w:val="0"/>
        <w:adjustRightInd w:val="0"/>
        <w:jc w:val="both"/>
        <w:rPr>
          <w:rFonts w:ascii="Verdana" w:hAnsi="Verdana" w:cs="Verdana,Bold"/>
          <w:b/>
          <w:bCs/>
          <w:color w:val="9A6633"/>
          <w:sz w:val="22"/>
          <w:szCs w:val="22"/>
        </w:rPr>
      </w:pPr>
    </w:p>
    <w:p w:rsidR="008E4C32" w:rsidRDefault="008E4C32" w:rsidP="008E4C32">
      <w:pPr>
        <w:pStyle w:val="Prrafodelista"/>
        <w:numPr>
          <w:ilvl w:val="0"/>
          <w:numId w:val="1"/>
        </w:numPr>
        <w:autoSpaceDE w:val="0"/>
        <w:autoSpaceDN w:val="0"/>
        <w:adjustRightInd w:val="0"/>
        <w:jc w:val="both"/>
        <w:rPr>
          <w:rFonts w:ascii="Verdana" w:hAnsi="Verdana" w:cs="Verdana,Bold"/>
          <w:b/>
          <w:bCs/>
          <w:color w:val="9A6633"/>
          <w:sz w:val="22"/>
          <w:szCs w:val="22"/>
        </w:rPr>
      </w:pPr>
      <w:r w:rsidRPr="008E4C32">
        <w:rPr>
          <w:rFonts w:ascii="Verdana" w:hAnsi="Verdana" w:cs="Verdana,Bold"/>
          <w:b/>
          <w:bCs/>
          <w:color w:val="9A6633"/>
          <w:sz w:val="22"/>
          <w:szCs w:val="22"/>
        </w:rPr>
        <w:t>El sistema de compensación equitativa por copia privada por medio de un canon digital no se sujetaba a los principios de “justo equilibrio”</w:t>
      </w:r>
      <w:r w:rsidR="00B85809">
        <w:rPr>
          <w:rFonts w:ascii="Verdana" w:hAnsi="Verdana" w:cs="Verdana,Bold"/>
          <w:b/>
          <w:bCs/>
          <w:color w:val="9A6633"/>
          <w:sz w:val="22"/>
          <w:szCs w:val="22"/>
        </w:rPr>
        <w:t>, al no estar basado en el cálculo del perjuicio efectivamente causado</w:t>
      </w:r>
      <w:r w:rsidRPr="008E4C32">
        <w:rPr>
          <w:rFonts w:ascii="Verdana" w:hAnsi="Verdana" w:cs="Verdana,Bold"/>
          <w:b/>
          <w:bCs/>
          <w:color w:val="9A6633"/>
          <w:sz w:val="22"/>
          <w:szCs w:val="22"/>
        </w:rPr>
        <w:t>.</w:t>
      </w:r>
    </w:p>
    <w:p w:rsidR="00106F16" w:rsidRDefault="00106F16" w:rsidP="00106F16">
      <w:pPr>
        <w:pStyle w:val="Prrafodelista"/>
        <w:numPr>
          <w:ilvl w:val="0"/>
          <w:numId w:val="1"/>
        </w:numPr>
        <w:autoSpaceDE w:val="0"/>
        <w:autoSpaceDN w:val="0"/>
        <w:adjustRightInd w:val="0"/>
        <w:jc w:val="both"/>
        <w:rPr>
          <w:rFonts w:ascii="Verdana" w:hAnsi="Verdana" w:cs="Verdana,Bold"/>
          <w:b/>
          <w:bCs/>
          <w:color w:val="9A6633"/>
          <w:sz w:val="22"/>
          <w:szCs w:val="22"/>
        </w:rPr>
      </w:pPr>
      <w:r>
        <w:rPr>
          <w:rFonts w:ascii="Verdana" w:hAnsi="Verdana" w:cs="Verdana,Bold"/>
          <w:b/>
          <w:bCs/>
          <w:color w:val="9A6633"/>
          <w:sz w:val="22"/>
          <w:szCs w:val="22"/>
        </w:rPr>
        <w:t xml:space="preserve">El Tribunal </w:t>
      </w:r>
      <w:r w:rsidR="00FC28DB">
        <w:rPr>
          <w:rFonts w:ascii="Verdana" w:hAnsi="Verdana" w:cs="Verdana,Bold"/>
          <w:b/>
          <w:bCs/>
          <w:color w:val="9A6633"/>
          <w:sz w:val="22"/>
          <w:szCs w:val="22"/>
        </w:rPr>
        <w:t xml:space="preserve">de Justicia de la UE </w:t>
      </w:r>
      <w:r>
        <w:rPr>
          <w:rFonts w:ascii="Verdana" w:hAnsi="Verdana" w:cs="Verdana,Bold"/>
          <w:b/>
          <w:bCs/>
          <w:color w:val="9A6633"/>
          <w:sz w:val="22"/>
          <w:szCs w:val="22"/>
        </w:rPr>
        <w:t>señala que la Directiva no se opone a que los EE.MM. financien la excepción por copia privada con cargo a sus PGE</w:t>
      </w:r>
      <w:r w:rsidRPr="00CE7D9E">
        <w:rPr>
          <w:rFonts w:ascii="Verdana" w:hAnsi="Verdana" w:cs="Verdana,Bold"/>
          <w:b/>
          <w:bCs/>
          <w:color w:val="9A6633"/>
          <w:sz w:val="22"/>
          <w:szCs w:val="22"/>
        </w:rPr>
        <w:t>.</w:t>
      </w:r>
    </w:p>
    <w:p w:rsidR="008E4C32" w:rsidRDefault="008E4C32" w:rsidP="00106F16">
      <w:pPr>
        <w:pStyle w:val="Prrafodelista"/>
        <w:numPr>
          <w:ilvl w:val="0"/>
          <w:numId w:val="1"/>
        </w:numPr>
        <w:autoSpaceDE w:val="0"/>
        <w:autoSpaceDN w:val="0"/>
        <w:adjustRightInd w:val="0"/>
        <w:jc w:val="both"/>
        <w:rPr>
          <w:rFonts w:ascii="Verdana" w:hAnsi="Verdana" w:cs="Verdana,Bold"/>
          <w:b/>
          <w:bCs/>
          <w:color w:val="9A6633"/>
          <w:sz w:val="22"/>
          <w:szCs w:val="22"/>
        </w:rPr>
      </w:pPr>
      <w:r>
        <w:rPr>
          <w:rFonts w:ascii="Verdana" w:hAnsi="Verdana" w:cs="Verdana,Bold"/>
          <w:b/>
          <w:bCs/>
          <w:color w:val="9A6633"/>
          <w:sz w:val="22"/>
          <w:szCs w:val="22"/>
        </w:rPr>
        <w:t>El sistema actual es válido si se adapta a las recientes sentencias.</w:t>
      </w:r>
    </w:p>
    <w:p w:rsidR="00106F16" w:rsidRDefault="00106F16" w:rsidP="00106F16">
      <w:pPr>
        <w:pStyle w:val="Prrafodelista"/>
        <w:autoSpaceDE w:val="0"/>
        <w:autoSpaceDN w:val="0"/>
        <w:adjustRightInd w:val="0"/>
        <w:rPr>
          <w:rFonts w:ascii="Verdana" w:hAnsi="Verdana" w:cs="Verdana,Bold"/>
          <w:b/>
          <w:bCs/>
          <w:color w:val="9A6633"/>
          <w:sz w:val="20"/>
          <w:szCs w:val="20"/>
        </w:rPr>
      </w:pPr>
    </w:p>
    <w:p w:rsidR="00106F16" w:rsidRPr="00EB6E47" w:rsidRDefault="00106F16" w:rsidP="00106F16">
      <w:pPr>
        <w:autoSpaceDE w:val="0"/>
        <w:autoSpaceDN w:val="0"/>
        <w:adjustRightInd w:val="0"/>
        <w:jc w:val="both"/>
        <w:rPr>
          <w:rFonts w:ascii="Verdana" w:hAnsi="Verdana" w:cs="Verdana"/>
          <w:i/>
          <w:sz w:val="20"/>
          <w:szCs w:val="20"/>
        </w:rPr>
      </w:pPr>
    </w:p>
    <w:p w:rsidR="00106F16" w:rsidRDefault="00EB6E47" w:rsidP="00106F16">
      <w:pPr>
        <w:autoSpaceDE w:val="0"/>
        <w:autoSpaceDN w:val="0"/>
        <w:adjustRightInd w:val="0"/>
        <w:jc w:val="both"/>
        <w:rPr>
          <w:rFonts w:ascii="Verdana" w:hAnsi="Verdana" w:cs="Verdana"/>
          <w:sz w:val="20"/>
          <w:szCs w:val="20"/>
        </w:rPr>
      </w:pPr>
      <w:r w:rsidRPr="00EB6E47">
        <w:rPr>
          <w:rFonts w:ascii="Verdana" w:hAnsi="Verdana" w:cs="Verdana"/>
          <w:i/>
          <w:sz w:val="20"/>
          <w:szCs w:val="20"/>
        </w:rPr>
        <w:t>Madrid, 19 de diciembre de 2016.-</w:t>
      </w:r>
      <w:r>
        <w:rPr>
          <w:rFonts w:ascii="Verdana" w:hAnsi="Verdana" w:cs="Verdana"/>
          <w:sz w:val="20"/>
          <w:szCs w:val="20"/>
        </w:rPr>
        <w:t xml:space="preserve"> </w:t>
      </w:r>
      <w:r w:rsidR="00106F16">
        <w:rPr>
          <w:rFonts w:ascii="Verdana" w:hAnsi="Verdana" w:cs="Verdana"/>
          <w:sz w:val="20"/>
          <w:szCs w:val="20"/>
        </w:rPr>
        <w:t>Ante las noticias aparecidas en los medios de comunicación de la</w:t>
      </w:r>
      <w:r w:rsidR="00356ECB">
        <w:rPr>
          <w:rFonts w:ascii="Verdana" w:hAnsi="Verdana" w:cs="Verdana"/>
          <w:sz w:val="20"/>
          <w:szCs w:val="20"/>
        </w:rPr>
        <w:t xml:space="preserve"> </w:t>
      </w:r>
      <w:r w:rsidR="00106F16">
        <w:rPr>
          <w:rFonts w:ascii="Verdana" w:hAnsi="Verdana" w:cs="Verdana"/>
          <w:sz w:val="20"/>
          <w:szCs w:val="20"/>
        </w:rPr>
        <w:t xml:space="preserve">semana pasada sobre la vuelta al denominado “canon digital”, AMETIC </w:t>
      </w:r>
      <w:r w:rsidR="00356ECB">
        <w:rPr>
          <w:rFonts w:ascii="Verdana" w:hAnsi="Verdana" w:cs="Verdana"/>
          <w:sz w:val="20"/>
          <w:szCs w:val="20"/>
        </w:rPr>
        <w:t>reitera que el Tribunal de Justicia de la Unión Europea (TJUE) apoya que el sistema de compensación por copia privada puede ir con cargo a los Presupuestos Generales del Estado.</w:t>
      </w:r>
    </w:p>
    <w:p w:rsidR="00356ECB" w:rsidRDefault="00356ECB" w:rsidP="00106F16">
      <w:pPr>
        <w:autoSpaceDE w:val="0"/>
        <w:autoSpaceDN w:val="0"/>
        <w:adjustRightInd w:val="0"/>
        <w:jc w:val="both"/>
        <w:rPr>
          <w:rFonts w:ascii="Verdana" w:hAnsi="Verdana" w:cs="Verdana"/>
          <w:sz w:val="20"/>
          <w:szCs w:val="20"/>
        </w:rPr>
      </w:pPr>
    </w:p>
    <w:p w:rsidR="00106F16" w:rsidRDefault="00356ECB" w:rsidP="00106F16">
      <w:pPr>
        <w:autoSpaceDE w:val="0"/>
        <w:autoSpaceDN w:val="0"/>
        <w:adjustRightInd w:val="0"/>
        <w:jc w:val="both"/>
        <w:rPr>
          <w:rFonts w:ascii="Verdana" w:hAnsi="Verdana" w:cs="Verdana"/>
          <w:sz w:val="20"/>
          <w:szCs w:val="20"/>
        </w:rPr>
      </w:pPr>
      <w:r>
        <w:rPr>
          <w:rFonts w:ascii="Verdana" w:hAnsi="Verdana" w:cs="Verdana"/>
          <w:sz w:val="20"/>
          <w:szCs w:val="20"/>
        </w:rPr>
        <w:t>En el mes de junio de 2016</w:t>
      </w:r>
      <w:r w:rsidR="00106F16">
        <w:rPr>
          <w:rFonts w:ascii="Verdana" w:hAnsi="Verdana" w:cs="Verdana"/>
          <w:sz w:val="20"/>
          <w:szCs w:val="20"/>
        </w:rPr>
        <w:t xml:space="preserve"> e</w:t>
      </w:r>
      <w:r>
        <w:rPr>
          <w:rFonts w:ascii="Verdana" w:hAnsi="Verdana" w:cs="Verdana"/>
          <w:sz w:val="20"/>
          <w:szCs w:val="20"/>
        </w:rPr>
        <w:t>l TJUE</w:t>
      </w:r>
      <w:r w:rsidR="00106F16">
        <w:rPr>
          <w:rFonts w:ascii="Verdana" w:hAnsi="Verdana" w:cs="Verdana"/>
          <w:sz w:val="20"/>
          <w:szCs w:val="20"/>
        </w:rPr>
        <w:t xml:space="preserve"> </w:t>
      </w:r>
      <w:r>
        <w:rPr>
          <w:rFonts w:ascii="Verdana" w:hAnsi="Verdana" w:cs="Verdana"/>
          <w:sz w:val="20"/>
          <w:szCs w:val="20"/>
        </w:rPr>
        <w:t>dictó</w:t>
      </w:r>
      <w:r w:rsidR="00106F16">
        <w:rPr>
          <w:rFonts w:ascii="Verdana" w:hAnsi="Verdana" w:cs="Verdana"/>
          <w:sz w:val="20"/>
          <w:szCs w:val="20"/>
        </w:rPr>
        <w:t xml:space="preserve"> sentencia en relación con las cuestiones prejudiciales remitidas por el </w:t>
      </w:r>
      <w:r w:rsidR="00106F16" w:rsidRPr="00CE7D9E">
        <w:rPr>
          <w:rFonts w:ascii="Verdana" w:hAnsi="Verdana" w:cs="Verdana"/>
          <w:sz w:val="20"/>
          <w:szCs w:val="20"/>
        </w:rPr>
        <w:t>Tribunal Supremo español acerca del sistema de compensación equitativa vigente en España desde 2012.</w:t>
      </w:r>
    </w:p>
    <w:p w:rsidR="00106F16" w:rsidRDefault="00106F16" w:rsidP="00106F16">
      <w:pPr>
        <w:autoSpaceDE w:val="0"/>
        <w:autoSpaceDN w:val="0"/>
        <w:adjustRightInd w:val="0"/>
        <w:jc w:val="both"/>
        <w:rPr>
          <w:rFonts w:ascii="Verdana" w:hAnsi="Verdana" w:cs="Verdana"/>
          <w:sz w:val="20"/>
          <w:szCs w:val="20"/>
        </w:rPr>
      </w:pPr>
    </w:p>
    <w:p w:rsidR="00106F16" w:rsidRDefault="00106F16" w:rsidP="00106F16">
      <w:pPr>
        <w:autoSpaceDE w:val="0"/>
        <w:autoSpaceDN w:val="0"/>
        <w:adjustRightInd w:val="0"/>
        <w:jc w:val="both"/>
        <w:rPr>
          <w:rFonts w:ascii="Verdana" w:hAnsi="Verdana" w:cs="Verdana"/>
          <w:sz w:val="20"/>
          <w:szCs w:val="20"/>
        </w:rPr>
      </w:pPr>
      <w:r w:rsidRPr="00CE7D9E">
        <w:rPr>
          <w:rFonts w:ascii="Verdana" w:hAnsi="Verdana" w:cs="Verdana"/>
          <w:sz w:val="20"/>
          <w:szCs w:val="20"/>
        </w:rPr>
        <w:t>A finales de 2011</w:t>
      </w:r>
      <w:r w:rsidR="008E4C32">
        <w:rPr>
          <w:rFonts w:ascii="Verdana" w:hAnsi="Verdana" w:cs="Verdana"/>
          <w:sz w:val="20"/>
          <w:szCs w:val="20"/>
        </w:rPr>
        <w:t xml:space="preserve">, </w:t>
      </w:r>
      <w:r w:rsidR="00B07A44">
        <w:rPr>
          <w:rFonts w:ascii="Verdana" w:hAnsi="Verdana" w:cs="Verdana"/>
          <w:sz w:val="20"/>
          <w:szCs w:val="20"/>
        </w:rPr>
        <w:t xml:space="preserve">las sentencias del TJUE y de la Audiencia Nacional de Barcelona, </w:t>
      </w:r>
      <w:r w:rsidR="008E4C32">
        <w:rPr>
          <w:rFonts w:ascii="Verdana" w:hAnsi="Verdana" w:cs="Verdana"/>
          <w:sz w:val="20"/>
          <w:szCs w:val="20"/>
        </w:rPr>
        <w:t>señalaban</w:t>
      </w:r>
      <w:r w:rsidR="00B07A44">
        <w:rPr>
          <w:rFonts w:ascii="Verdana" w:hAnsi="Verdana" w:cs="Verdana"/>
          <w:sz w:val="20"/>
          <w:szCs w:val="20"/>
        </w:rPr>
        <w:t xml:space="preserve"> que el sistema de compensación equitativa </w:t>
      </w:r>
      <w:r w:rsidR="00B07A44" w:rsidRPr="00CE7D9E">
        <w:rPr>
          <w:rFonts w:ascii="Verdana" w:hAnsi="Verdana" w:cs="Verdana"/>
          <w:sz w:val="20"/>
          <w:szCs w:val="20"/>
        </w:rPr>
        <w:t>aplicad</w:t>
      </w:r>
      <w:r w:rsidR="00B07A44">
        <w:rPr>
          <w:rFonts w:ascii="Verdana" w:hAnsi="Verdana" w:cs="Verdana"/>
          <w:sz w:val="20"/>
          <w:szCs w:val="20"/>
        </w:rPr>
        <w:t>o</w:t>
      </w:r>
      <w:r w:rsidR="00B07A44" w:rsidRPr="00CE7D9E">
        <w:rPr>
          <w:rFonts w:ascii="Verdana" w:hAnsi="Verdana" w:cs="Verdana"/>
          <w:sz w:val="20"/>
          <w:szCs w:val="20"/>
        </w:rPr>
        <w:t xml:space="preserve"> a ciertos soportes y aparatos de grabación adquiridos por los consumidores</w:t>
      </w:r>
      <w:r w:rsidR="00B07A44">
        <w:rPr>
          <w:rFonts w:ascii="Verdana" w:hAnsi="Verdana" w:cs="Verdana"/>
          <w:sz w:val="20"/>
          <w:szCs w:val="20"/>
        </w:rPr>
        <w:t xml:space="preserve"> </w:t>
      </w:r>
      <w:r w:rsidR="008E4C32">
        <w:rPr>
          <w:rFonts w:ascii="Verdana" w:hAnsi="Verdana" w:cs="Verdana"/>
          <w:sz w:val="20"/>
          <w:szCs w:val="20"/>
        </w:rPr>
        <w:t xml:space="preserve">no mantenía un “justo </w:t>
      </w:r>
      <w:r w:rsidR="00331B67">
        <w:rPr>
          <w:rFonts w:ascii="Verdana" w:hAnsi="Verdana" w:cs="Verdana"/>
          <w:sz w:val="20"/>
          <w:szCs w:val="20"/>
        </w:rPr>
        <w:t>equilibrio</w:t>
      </w:r>
      <w:r w:rsidR="008E4C32">
        <w:rPr>
          <w:rFonts w:ascii="Verdana" w:hAnsi="Verdana" w:cs="Verdana"/>
          <w:sz w:val="20"/>
          <w:szCs w:val="20"/>
        </w:rPr>
        <w:t>”</w:t>
      </w:r>
      <w:r w:rsidR="007811D8">
        <w:rPr>
          <w:rFonts w:ascii="Verdana" w:hAnsi="Verdana" w:cs="Verdana"/>
          <w:sz w:val="20"/>
          <w:szCs w:val="20"/>
        </w:rPr>
        <w:t xml:space="preserve"> al no tener en cuenta el perjuicio efectivamente causado por la copia privada</w:t>
      </w:r>
      <w:r w:rsidR="008E4C32">
        <w:rPr>
          <w:rFonts w:ascii="Verdana" w:hAnsi="Verdana" w:cs="Verdana"/>
          <w:sz w:val="20"/>
          <w:szCs w:val="20"/>
        </w:rPr>
        <w:t>. Por estas razones,</w:t>
      </w:r>
      <w:r w:rsidRPr="00CE7D9E">
        <w:rPr>
          <w:rFonts w:ascii="Verdana" w:hAnsi="Verdana" w:cs="Verdana"/>
          <w:sz w:val="20"/>
          <w:szCs w:val="20"/>
        </w:rPr>
        <w:t xml:space="preserve"> el Gobierno español decidió sustituir el</w:t>
      </w:r>
      <w:r>
        <w:rPr>
          <w:rFonts w:ascii="Verdana" w:hAnsi="Verdana" w:cs="Verdana"/>
          <w:sz w:val="20"/>
          <w:szCs w:val="20"/>
        </w:rPr>
        <w:t xml:space="preserve"> modelo de pago </w:t>
      </w:r>
      <w:r w:rsidRPr="00CE7D9E">
        <w:rPr>
          <w:rFonts w:ascii="Verdana" w:hAnsi="Verdana" w:cs="Verdana"/>
          <w:sz w:val="20"/>
          <w:szCs w:val="20"/>
        </w:rPr>
        <w:t xml:space="preserve">por </w:t>
      </w:r>
      <w:r>
        <w:rPr>
          <w:rFonts w:ascii="Verdana" w:hAnsi="Verdana" w:cs="Verdana"/>
          <w:sz w:val="20"/>
          <w:szCs w:val="20"/>
        </w:rPr>
        <w:t>un</w:t>
      </w:r>
      <w:r w:rsidRPr="00CE7D9E">
        <w:rPr>
          <w:rFonts w:ascii="Verdana" w:hAnsi="Verdana" w:cs="Verdana"/>
          <w:sz w:val="20"/>
          <w:szCs w:val="20"/>
        </w:rPr>
        <w:t xml:space="preserve"> nuevo modelo de financiación consistente en compensar a los </w:t>
      </w:r>
      <w:r>
        <w:rPr>
          <w:rFonts w:ascii="Verdana" w:hAnsi="Verdana" w:cs="Verdana"/>
          <w:sz w:val="20"/>
          <w:szCs w:val="20"/>
        </w:rPr>
        <w:t>titulares de derechos de propiedad intelectual beneficiarios de dicha compensación</w:t>
      </w:r>
      <w:r w:rsidRPr="00CE7D9E">
        <w:rPr>
          <w:rFonts w:ascii="Verdana" w:hAnsi="Verdana" w:cs="Verdana"/>
          <w:sz w:val="20"/>
          <w:szCs w:val="20"/>
        </w:rPr>
        <w:t xml:space="preserve"> con cargo a los P</w:t>
      </w:r>
      <w:r>
        <w:rPr>
          <w:rFonts w:ascii="Verdana" w:hAnsi="Verdana" w:cs="Verdana"/>
          <w:sz w:val="20"/>
          <w:szCs w:val="20"/>
        </w:rPr>
        <w:t xml:space="preserve">resupuestos </w:t>
      </w:r>
      <w:r w:rsidRPr="00CE7D9E">
        <w:rPr>
          <w:rFonts w:ascii="Verdana" w:hAnsi="Verdana" w:cs="Verdana"/>
          <w:sz w:val="20"/>
          <w:szCs w:val="20"/>
        </w:rPr>
        <w:t>G</w:t>
      </w:r>
      <w:r>
        <w:rPr>
          <w:rFonts w:ascii="Verdana" w:hAnsi="Verdana" w:cs="Verdana"/>
          <w:sz w:val="20"/>
          <w:szCs w:val="20"/>
        </w:rPr>
        <w:t xml:space="preserve">enerales del </w:t>
      </w:r>
      <w:r w:rsidRPr="00CE7D9E">
        <w:rPr>
          <w:rFonts w:ascii="Verdana" w:hAnsi="Verdana" w:cs="Verdana"/>
          <w:sz w:val="20"/>
          <w:szCs w:val="20"/>
        </w:rPr>
        <w:t>E</w:t>
      </w:r>
      <w:r>
        <w:rPr>
          <w:rFonts w:ascii="Verdana" w:hAnsi="Verdana" w:cs="Verdana"/>
          <w:sz w:val="20"/>
          <w:szCs w:val="20"/>
        </w:rPr>
        <w:t>stado</w:t>
      </w:r>
      <w:r w:rsidRPr="00CE7D9E">
        <w:rPr>
          <w:rFonts w:ascii="Verdana" w:hAnsi="Verdana" w:cs="Verdana"/>
          <w:sz w:val="20"/>
          <w:szCs w:val="20"/>
        </w:rPr>
        <w:t xml:space="preserve"> por las copias legítimas hechas por los consumidores. Para el cálculo de la compensación, la norma en vigor </w:t>
      </w:r>
      <w:r>
        <w:rPr>
          <w:rFonts w:ascii="Verdana" w:hAnsi="Verdana" w:cs="Verdana"/>
          <w:sz w:val="20"/>
          <w:szCs w:val="20"/>
        </w:rPr>
        <w:t>marca</w:t>
      </w:r>
      <w:r w:rsidRPr="00CE7D9E">
        <w:rPr>
          <w:rFonts w:ascii="Verdana" w:hAnsi="Verdana" w:cs="Verdana"/>
          <w:sz w:val="20"/>
          <w:szCs w:val="20"/>
        </w:rPr>
        <w:t xml:space="preserve"> que ha de tenerse en cuenta el perjuicio efectivamente causado.</w:t>
      </w:r>
    </w:p>
    <w:p w:rsidR="00106F16" w:rsidRDefault="00106F16" w:rsidP="00106F16">
      <w:pPr>
        <w:autoSpaceDE w:val="0"/>
        <w:autoSpaceDN w:val="0"/>
        <w:adjustRightInd w:val="0"/>
        <w:jc w:val="both"/>
        <w:rPr>
          <w:rFonts w:ascii="Verdana" w:hAnsi="Verdana" w:cs="Verdana"/>
          <w:sz w:val="20"/>
          <w:szCs w:val="20"/>
        </w:rPr>
      </w:pPr>
    </w:p>
    <w:p w:rsidR="00106F16" w:rsidRPr="00907182" w:rsidRDefault="00106F16" w:rsidP="00106F16">
      <w:pPr>
        <w:autoSpaceDE w:val="0"/>
        <w:autoSpaceDN w:val="0"/>
        <w:adjustRightInd w:val="0"/>
        <w:jc w:val="both"/>
        <w:rPr>
          <w:rFonts w:ascii="Verdana" w:hAnsi="Verdana" w:cs="Verdana"/>
          <w:sz w:val="20"/>
          <w:szCs w:val="20"/>
        </w:rPr>
      </w:pPr>
      <w:r>
        <w:rPr>
          <w:rFonts w:ascii="Verdana" w:hAnsi="Verdana" w:cs="Verdana"/>
          <w:sz w:val="20"/>
          <w:szCs w:val="20"/>
        </w:rPr>
        <w:t>En su decisión, el TJUE d</w:t>
      </w:r>
      <w:r w:rsidRPr="00907182">
        <w:rPr>
          <w:rFonts w:ascii="Verdana" w:hAnsi="Verdana" w:cs="Verdana"/>
          <w:sz w:val="20"/>
          <w:szCs w:val="20"/>
        </w:rPr>
        <w:t xml:space="preserve">estaca que, aunque el </w:t>
      </w:r>
      <w:r>
        <w:rPr>
          <w:rFonts w:ascii="Verdana" w:hAnsi="Verdana" w:cs="Verdana"/>
          <w:sz w:val="20"/>
          <w:szCs w:val="20"/>
        </w:rPr>
        <w:t xml:space="preserve">sistema de </w:t>
      </w:r>
      <w:r w:rsidRPr="00907182">
        <w:rPr>
          <w:rFonts w:ascii="Verdana" w:hAnsi="Verdana" w:cs="Verdana"/>
          <w:sz w:val="20"/>
          <w:szCs w:val="20"/>
        </w:rPr>
        <w:t xml:space="preserve">financiación de la compensación equitativa más comúnmente elegido sea el del </w:t>
      </w:r>
      <w:r>
        <w:rPr>
          <w:rFonts w:ascii="Verdana" w:hAnsi="Verdana" w:cs="Verdana"/>
          <w:sz w:val="20"/>
          <w:szCs w:val="20"/>
        </w:rPr>
        <w:t>pago por los dispositivos de grabación y copiado</w:t>
      </w:r>
      <w:r w:rsidRPr="00907182">
        <w:rPr>
          <w:rFonts w:ascii="Verdana" w:hAnsi="Verdana" w:cs="Verdana"/>
          <w:sz w:val="20"/>
          <w:szCs w:val="20"/>
        </w:rPr>
        <w:t xml:space="preserve">, la Directiva no se opone a que los Estados miembros que han </w:t>
      </w:r>
      <w:r w:rsidRPr="00907182">
        <w:rPr>
          <w:rFonts w:ascii="Verdana" w:hAnsi="Verdana" w:cs="Verdana"/>
          <w:sz w:val="20"/>
          <w:szCs w:val="20"/>
        </w:rPr>
        <w:lastRenderedPageBreak/>
        <w:t xml:space="preserve">decidido introducir la excepción de copia privada opten por financiarla con cargo a sus </w:t>
      </w:r>
      <w:r>
        <w:rPr>
          <w:rFonts w:ascii="Verdana" w:hAnsi="Verdana" w:cs="Verdana"/>
          <w:sz w:val="20"/>
          <w:szCs w:val="20"/>
        </w:rPr>
        <w:t>p</w:t>
      </w:r>
      <w:r w:rsidRPr="00907182">
        <w:rPr>
          <w:rFonts w:ascii="Verdana" w:hAnsi="Verdana" w:cs="Verdana"/>
          <w:sz w:val="20"/>
          <w:szCs w:val="20"/>
        </w:rPr>
        <w:t xml:space="preserve">resupuestos </w:t>
      </w:r>
      <w:r>
        <w:rPr>
          <w:rFonts w:ascii="Verdana" w:hAnsi="Verdana" w:cs="Verdana"/>
          <w:sz w:val="20"/>
          <w:szCs w:val="20"/>
        </w:rPr>
        <w:t>g</w:t>
      </w:r>
      <w:r w:rsidRPr="00907182">
        <w:rPr>
          <w:rFonts w:ascii="Verdana" w:hAnsi="Verdana" w:cs="Verdana"/>
          <w:sz w:val="20"/>
          <w:szCs w:val="20"/>
        </w:rPr>
        <w:t>enerales (una solución que</w:t>
      </w:r>
      <w:r>
        <w:rPr>
          <w:rFonts w:ascii="Verdana" w:hAnsi="Verdana" w:cs="Verdana"/>
          <w:sz w:val="20"/>
          <w:szCs w:val="20"/>
        </w:rPr>
        <w:t xml:space="preserve"> </w:t>
      </w:r>
      <w:r w:rsidRPr="00907182">
        <w:rPr>
          <w:rFonts w:ascii="Verdana" w:hAnsi="Verdana" w:cs="Verdana"/>
          <w:sz w:val="20"/>
          <w:szCs w:val="20"/>
        </w:rPr>
        <w:t xml:space="preserve">también ha sido adoptada en Estonia, Finlandia y Noruega, además de en España), siempre que ese sistema garantice el pago de una compensación equitativa a favor de los titulares de los derechos, que sus modalidades garanticen su percepción </w:t>
      </w:r>
      <w:r>
        <w:rPr>
          <w:rFonts w:ascii="Verdana" w:hAnsi="Verdana" w:cs="Verdana"/>
          <w:sz w:val="20"/>
          <w:szCs w:val="20"/>
        </w:rPr>
        <w:t>y</w:t>
      </w:r>
      <w:r w:rsidRPr="00907182">
        <w:rPr>
          <w:rFonts w:ascii="Verdana" w:hAnsi="Verdana" w:cs="Verdana"/>
          <w:sz w:val="20"/>
          <w:szCs w:val="20"/>
        </w:rPr>
        <w:t xml:space="preserve"> las personas jurídicas </w:t>
      </w:r>
      <w:r>
        <w:rPr>
          <w:rFonts w:ascii="Verdana" w:hAnsi="Verdana" w:cs="Verdana"/>
          <w:sz w:val="20"/>
          <w:szCs w:val="20"/>
        </w:rPr>
        <w:t>no sean</w:t>
      </w:r>
      <w:r w:rsidRPr="00907182">
        <w:rPr>
          <w:rFonts w:ascii="Verdana" w:hAnsi="Verdana" w:cs="Verdana"/>
          <w:sz w:val="20"/>
          <w:szCs w:val="20"/>
        </w:rPr>
        <w:t xml:space="preserve"> deudoras efectivas</w:t>
      </w:r>
      <w:r>
        <w:rPr>
          <w:rFonts w:ascii="Verdana" w:hAnsi="Verdana" w:cs="Verdana"/>
          <w:sz w:val="20"/>
          <w:szCs w:val="20"/>
        </w:rPr>
        <w:t xml:space="preserve"> del correspondiente gravamen, sino que este solo sea sufragado por los usuarios de copias privadas</w:t>
      </w:r>
      <w:r w:rsidRPr="00907182">
        <w:rPr>
          <w:rFonts w:ascii="Verdana" w:hAnsi="Verdana" w:cs="Verdana"/>
          <w:sz w:val="20"/>
          <w:szCs w:val="20"/>
        </w:rPr>
        <w:t>.</w:t>
      </w:r>
    </w:p>
    <w:p w:rsidR="00F87D74" w:rsidRDefault="00F87D74" w:rsidP="00F87D74">
      <w:pPr>
        <w:autoSpaceDE w:val="0"/>
        <w:autoSpaceDN w:val="0"/>
        <w:adjustRightInd w:val="0"/>
        <w:jc w:val="both"/>
        <w:rPr>
          <w:rFonts w:ascii="Verdana" w:hAnsi="Verdana" w:cs="Verdana"/>
          <w:sz w:val="20"/>
          <w:szCs w:val="20"/>
        </w:rPr>
      </w:pPr>
    </w:p>
    <w:p w:rsidR="00F87D74" w:rsidRDefault="00F87D74" w:rsidP="00F87D74">
      <w:pPr>
        <w:autoSpaceDE w:val="0"/>
        <w:autoSpaceDN w:val="0"/>
        <w:adjustRightInd w:val="0"/>
        <w:jc w:val="both"/>
        <w:rPr>
          <w:rFonts w:ascii="Verdana" w:hAnsi="Verdana" w:cs="Verdana"/>
          <w:sz w:val="20"/>
          <w:szCs w:val="20"/>
        </w:rPr>
      </w:pPr>
      <w:r>
        <w:rPr>
          <w:rFonts w:ascii="Verdana" w:hAnsi="Verdana" w:cs="Verdana"/>
          <w:sz w:val="20"/>
          <w:szCs w:val="20"/>
        </w:rPr>
        <w:t>Dado que las sentencias del TJUE son vinculantes para el órgano jurídico nacional que planteó las cuestiones prejudiciales, el Tribunal Supremo ha tenido en cuenta en su decisión la respuesta recibida.</w:t>
      </w:r>
    </w:p>
    <w:p w:rsidR="00106F16" w:rsidRPr="00907182" w:rsidRDefault="00106F16" w:rsidP="00106F16">
      <w:pPr>
        <w:autoSpaceDE w:val="0"/>
        <w:autoSpaceDN w:val="0"/>
        <w:adjustRightInd w:val="0"/>
        <w:jc w:val="both"/>
        <w:rPr>
          <w:rFonts w:ascii="Verdana" w:hAnsi="Verdana" w:cs="Verdana"/>
          <w:sz w:val="20"/>
          <w:szCs w:val="20"/>
        </w:rPr>
      </w:pPr>
    </w:p>
    <w:p w:rsidR="00106F16" w:rsidRDefault="00106F16" w:rsidP="00106F16">
      <w:pPr>
        <w:autoSpaceDE w:val="0"/>
        <w:autoSpaceDN w:val="0"/>
        <w:adjustRightInd w:val="0"/>
        <w:jc w:val="both"/>
        <w:rPr>
          <w:rFonts w:ascii="Verdana" w:hAnsi="Verdana" w:cs="Verdana"/>
          <w:b/>
          <w:sz w:val="20"/>
          <w:szCs w:val="20"/>
        </w:rPr>
      </w:pPr>
      <w:r w:rsidRPr="00BA7431">
        <w:rPr>
          <w:rFonts w:ascii="Verdana" w:hAnsi="Verdana" w:cs="Verdana"/>
          <w:b/>
          <w:sz w:val="20"/>
          <w:szCs w:val="20"/>
        </w:rPr>
        <w:t>Próximos pasos</w:t>
      </w:r>
    </w:p>
    <w:p w:rsidR="00675B06" w:rsidRDefault="00675B06" w:rsidP="00106F16">
      <w:pPr>
        <w:autoSpaceDE w:val="0"/>
        <w:autoSpaceDN w:val="0"/>
        <w:adjustRightInd w:val="0"/>
        <w:jc w:val="both"/>
        <w:rPr>
          <w:rFonts w:ascii="Verdana" w:hAnsi="Verdana" w:cs="Verdana"/>
          <w:b/>
          <w:sz w:val="20"/>
          <w:szCs w:val="20"/>
        </w:rPr>
      </w:pPr>
    </w:p>
    <w:p w:rsidR="00675B06" w:rsidRDefault="00675B06" w:rsidP="00106F16">
      <w:pPr>
        <w:autoSpaceDE w:val="0"/>
        <w:autoSpaceDN w:val="0"/>
        <w:adjustRightInd w:val="0"/>
        <w:jc w:val="both"/>
        <w:rPr>
          <w:rFonts w:ascii="Verdana" w:hAnsi="Verdana" w:cs="Verdana"/>
          <w:sz w:val="20"/>
          <w:szCs w:val="20"/>
        </w:rPr>
      </w:pPr>
      <w:r>
        <w:rPr>
          <w:rFonts w:ascii="Verdana" w:hAnsi="Verdana" w:cs="Verdana"/>
          <w:sz w:val="20"/>
          <w:szCs w:val="20"/>
        </w:rPr>
        <w:t>AMETIC cuenta entre sus socios con las principales empresas del sector de las tecnologías de la información, las telecomunicaciones y los contenidos digitales. Este sector agrupa muchas de las empresas nacionales e internacionales que generan y ponen a disposición de los usuarios buena parte de los contenidos creativos, las tecnologías y los servicios que configuran la era digital.</w:t>
      </w:r>
    </w:p>
    <w:p w:rsidR="00675B06" w:rsidRDefault="00675B06" w:rsidP="00106F16">
      <w:pPr>
        <w:autoSpaceDE w:val="0"/>
        <w:autoSpaceDN w:val="0"/>
        <w:adjustRightInd w:val="0"/>
        <w:jc w:val="both"/>
        <w:rPr>
          <w:rFonts w:ascii="Verdana" w:hAnsi="Verdana" w:cs="Verdana"/>
          <w:sz w:val="20"/>
          <w:szCs w:val="20"/>
        </w:rPr>
      </w:pPr>
    </w:p>
    <w:p w:rsidR="00675B06" w:rsidRDefault="00675B06" w:rsidP="00106F16">
      <w:pPr>
        <w:autoSpaceDE w:val="0"/>
        <w:autoSpaceDN w:val="0"/>
        <w:adjustRightInd w:val="0"/>
        <w:jc w:val="both"/>
        <w:rPr>
          <w:rFonts w:ascii="Verdana" w:hAnsi="Verdana" w:cs="Verdana"/>
          <w:sz w:val="20"/>
          <w:szCs w:val="20"/>
        </w:rPr>
      </w:pPr>
      <w:r>
        <w:rPr>
          <w:rFonts w:ascii="Verdana" w:hAnsi="Verdana" w:cs="Verdana"/>
          <w:sz w:val="20"/>
          <w:szCs w:val="20"/>
        </w:rPr>
        <w:t>Como representante de la industria, AMETIC está profundamente comprometido con la propiedad intelectual y con el impulso de modelos sostenibles y defensa legítima de los titulares de derechos. Es importante dotar al sistema de unas reglas que faciliten el desarrollo de nuevos modelos de negocio surgidos en la economía digital, teniendo en cuenta la justa retribución y protección a los autores de contenidos creativos y culturales. Es decir, obtener un equilibrio entre los agentes implicados.</w:t>
      </w:r>
    </w:p>
    <w:p w:rsidR="00675B06" w:rsidRDefault="00675B06" w:rsidP="00106F16">
      <w:pPr>
        <w:autoSpaceDE w:val="0"/>
        <w:autoSpaceDN w:val="0"/>
        <w:adjustRightInd w:val="0"/>
        <w:jc w:val="both"/>
        <w:rPr>
          <w:rFonts w:ascii="Verdana" w:hAnsi="Verdana" w:cs="Verdana"/>
          <w:sz w:val="20"/>
          <w:szCs w:val="20"/>
        </w:rPr>
      </w:pPr>
    </w:p>
    <w:p w:rsidR="00675B06" w:rsidRDefault="00675B06" w:rsidP="00106F16">
      <w:pPr>
        <w:autoSpaceDE w:val="0"/>
        <w:autoSpaceDN w:val="0"/>
        <w:adjustRightInd w:val="0"/>
        <w:jc w:val="both"/>
        <w:rPr>
          <w:rFonts w:ascii="Verdana" w:hAnsi="Verdana" w:cs="Verdana"/>
          <w:sz w:val="20"/>
          <w:szCs w:val="20"/>
        </w:rPr>
      </w:pPr>
      <w:r>
        <w:rPr>
          <w:rFonts w:ascii="Verdana" w:hAnsi="Verdana" w:cs="Verdana"/>
          <w:sz w:val="20"/>
          <w:szCs w:val="20"/>
        </w:rPr>
        <w:t xml:space="preserve">La reciente sentencia del Tribunal Supremo que, aplicando la sentencia del TJUE anula el RD </w:t>
      </w:r>
      <w:r w:rsidR="00835A54">
        <w:rPr>
          <w:rFonts w:ascii="Verdana" w:hAnsi="Verdana" w:cs="Verdana"/>
          <w:sz w:val="20"/>
          <w:szCs w:val="20"/>
        </w:rPr>
        <w:t>que regula el procedimiento de pago de la compensación equitativa con cargo a los PGE implica que debe realizarse un proceso de adaptación del sistema para su adecuación a la normativa europea y no necesariamente anularlo y sustituirlo por otro, como exigen las entidades de gestión.</w:t>
      </w:r>
      <w:r w:rsidR="00D92BB3">
        <w:rPr>
          <w:rFonts w:ascii="Verdana" w:hAnsi="Verdana" w:cs="Verdana"/>
          <w:sz w:val="20"/>
          <w:szCs w:val="20"/>
        </w:rPr>
        <w:t xml:space="preserve"> </w:t>
      </w:r>
      <w:r w:rsidR="007811D8">
        <w:rPr>
          <w:rFonts w:ascii="Verdana" w:hAnsi="Verdana" w:cs="Verdana"/>
          <w:sz w:val="20"/>
          <w:szCs w:val="20"/>
        </w:rPr>
        <w:t>El TJUE indicó que e</w:t>
      </w:r>
      <w:r w:rsidR="00D92BB3">
        <w:rPr>
          <w:rFonts w:ascii="Verdana" w:hAnsi="Verdana" w:cs="Verdana"/>
          <w:sz w:val="20"/>
          <w:szCs w:val="20"/>
        </w:rPr>
        <w:t xml:space="preserve">l anterior sistema de compensación equitativa mediante un “canon digital” no </w:t>
      </w:r>
      <w:r w:rsidR="00FC28DB">
        <w:rPr>
          <w:rFonts w:ascii="Verdana" w:hAnsi="Verdana" w:cs="Verdana"/>
          <w:sz w:val="20"/>
          <w:szCs w:val="20"/>
        </w:rPr>
        <w:t>tenía</w:t>
      </w:r>
      <w:r w:rsidR="00D92BB3">
        <w:rPr>
          <w:rFonts w:ascii="Verdana" w:hAnsi="Verdana" w:cs="Verdana"/>
          <w:sz w:val="20"/>
          <w:szCs w:val="20"/>
        </w:rPr>
        <w:t xml:space="preserve"> como base el prejuicio efectivamente causado.</w:t>
      </w:r>
    </w:p>
    <w:p w:rsidR="00835A54" w:rsidRDefault="00835A54" w:rsidP="00106F16">
      <w:pPr>
        <w:autoSpaceDE w:val="0"/>
        <w:autoSpaceDN w:val="0"/>
        <w:adjustRightInd w:val="0"/>
        <w:jc w:val="both"/>
        <w:rPr>
          <w:rFonts w:ascii="Verdana" w:hAnsi="Verdana" w:cs="Verdana"/>
          <w:sz w:val="20"/>
          <w:szCs w:val="20"/>
        </w:rPr>
      </w:pPr>
    </w:p>
    <w:p w:rsidR="00F87D74" w:rsidRDefault="00835A54" w:rsidP="00F87D74">
      <w:pPr>
        <w:autoSpaceDE w:val="0"/>
        <w:autoSpaceDN w:val="0"/>
        <w:adjustRightInd w:val="0"/>
        <w:jc w:val="both"/>
        <w:rPr>
          <w:rFonts w:ascii="Verdana" w:hAnsi="Verdana" w:cs="Verdana"/>
          <w:sz w:val="20"/>
          <w:szCs w:val="20"/>
        </w:rPr>
      </w:pPr>
      <w:r>
        <w:rPr>
          <w:rFonts w:ascii="Verdana" w:hAnsi="Verdana" w:cs="Verdana"/>
          <w:sz w:val="20"/>
          <w:szCs w:val="20"/>
        </w:rPr>
        <w:t xml:space="preserve">Durante este proceso se </w:t>
      </w:r>
      <w:r w:rsidR="00AE4DAE">
        <w:rPr>
          <w:rFonts w:ascii="Verdana" w:hAnsi="Verdana" w:cs="Verdana"/>
          <w:sz w:val="20"/>
          <w:szCs w:val="20"/>
        </w:rPr>
        <w:t>debe realizar un esfuerzo de análisis y de colaboración para adoptar el modelo más eficiente que garantice la protección de la propiedad intelectual, al mismo tiempo que promueva la rápida difusión de nuevos y legítimos modelos de negocio.</w:t>
      </w:r>
    </w:p>
    <w:p w:rsidR="00627E04" w:rsidRDefault="00627E04" w:rsidP="00F87D74">
      <w:pPr>
        <w:autoSpaceDE w:val="0"/>
        <w:autoSpaceDN w:val="0"/>
        <w:adjustRightInd w:val="0"/>
        <w:jc w:val="both"/>
        <w:rPr>
          <w:rFonts w:ascii="Verdana" w:hAnsi="Verdana" w:cs="Verdana"/>
          <w:sz w:val="20"/>
          <w:szCs w:val="20"/>
        </w:rPr>
      </w:pPr>
    </w:p>
    <w:p w:rsidR="00627E04" w:rsidRDefault="00627E04" w:rsidP="00F87D74">
      <w:pPr>
        <w:autoSpaceDE w:val="0"/>
        <w:autoSpaceDN w:val="0"/>
        <w:adjustRightInd w:val="0"/>
        <w:jc w:val="both"/>
        <w:rPr>
          <w:rFonts w:ascii="Verdana" w:hAnsi="Verdana" w:cs="Verdana"/>
          <w:sz w:val="20"/>
          <w:szCs w:val="20"/>
        </w:rPr>
      </w:pPr>
      <w:r>
        <w:rPr>
          <w:rFonts w:ascii="Verdana" w:hAnsi="Verdana" w:cs="Verdana"/>
          <w:sz w:val="20"/>
          <w:szCs w:val="20"/>
        </w:rPr>
        <w:t>En este sentido, el Director General de AMETIC señala que “</w:t>
      </w:r>
      <w:r w:rsidRPr="00627E04">
        <w:rPr>
          <w:rFonts w:ascii="Verdana" w:hAnsi="Verdana" w:cs="Verdana"/>
          <w:i/>
          <w:sz w:val="20"/>
          <w:szCs w:val="20"/>
        </w:rPr>
        <w:t>En cualquier caso, el sistema de compensación debe tener en cuenta los criterios establecidos en la Directiva 2001/29/EC, esto es, (i) que la compen</w:t>
      </w:r>
      <w:r w:rsidR="006F77E6">
        <w:rPr>
          <w:rFonts w:ascii="Verdana" w:hAnsi="Verdana" w:cs="Verdana"/>
          <w:i/>
          <w:sz w:val="20"/>
          <w:szCs w:val="20"/>
        </w:rPr>
        <w:t xml:space="preserve">sación sea equitativa, (ii) </w:t>
      </w:r>
      <w:r w:rsidRPr="00627E04">
        <w:rPr>
          <w:rFonts w:ascii="Verdana" w:hAnsi="Verdana" w:cs="Verdana"/>
          <w:i/>
          <w:sz w:val="20"/>
          <w:szCs w:val="20"/>
        </w:rPr>
        <w:t xml:space="preserve">si el perjuicio causado es mínimo, este no puede dar lugar a una obligación de pago y (iii) se deben tener en </w:t>
      </w:r>
      <w:r w:rsidRPr="00627E04">
        <w:rPr>
          <w:rFonts w:ascii="Verdana" w:hAnsi="Verdana" w:cs="Verdana"/>
          <w:i/>
          <w:sz w:val="20"/>
          <w:szCs w:val="20"/>
        </w:rPr>
        <w:lastRenderedPageBreak/>
        <w:t>cuenta las medidas tecnológicas. En definitiva, se debe calcular el perjuicio efectivamente causado</w:t>
      </w:r>
      <w:r>
        <w:rPr>
          <w:rFonts w:ascii="Verdana" w:hAnsi="Verdana" w:cs="Verdana"/>
          <w:i/>
          <w:sz w:val="20"/>
          <w:szCs w:val="20"/>
        </w:rPr>
        <w:t>.”</w:t>
      </w:r>
    </w:p>
    <w:p w:rsidR="00627E04" w:rsidRDefault="00627E04" w:rsidP="00F87D74">
      <w:pPr>
        <w:autoSpaceDE w:val="0"/>
        <w:autoSpaceDN w:val="0"/>
        <w:adjustRightInd w:val="0"/>
        <w:jc w:val="both"/>
        <w:rPr>
          <w:rFonts w:ascii="Verdana" w:hAnsi="Verdana" w:cs="Verdana"/>
          <w:sz w:val="20"/>
          <w:szCs w:val="20"/>
        </w:rPr>
      </w:pPr>
    </w:p>
    <w:p w:rsidR="00627E04" w:rsidRDefault="00627E04" w:rsidP="00F87D74">
      <w:pPr>
        <w:autoSpaceDE w:val="0"/>
        <w:autoSpaceDN w:val="0"/>
        <w:adjustRightInd w:val="0"/>
        <w:jc w:val="both"/>
        <w:rPr>
          <w:rFonts w:ascii="Verdana" w:hAnsi="Verdana" w:cs="Verdana"/>
          <w:sz w:val="20"/>
          <w:szCs w:val="20"/>
        </w:rPr>
      </w:pPr>
      <w:r>
        <w:rPr>
          <w:rFonts w:ascii="Verdana" w:hAnsi="Verdana" w:cs="Verdana"/>
          <w:sz w:val="20"/>
          <w:szCs w:val="20"/>
        </w:rPr>
        <w:t xml:space="preserve">En definitiva, AMETIC considera que un sistema que garantice que la compensación equitativa que corresponde a los autores sea </w:t>
      </w:r>
      <w:r w:rsidR="00757F56">
        <w:rPr>
          <w:rFonts w:ascii="Verdana" w:hAnsi="Verdana" w:cs="Verdana"/>
          <w:sz w:val="20"/>
          <w:szCs w:val="20"/>
        </w:rPr>
        <w:t>sufragada</w:t>
      </w:r>
      <w:r>
        <w:rPr>
          <w:rFonts w:ascii="Verdana" w:hAnsi="Verdana" w:cs="Verdana"/>
          <w:sz w:val="20"/>
          <w:szCs w:val="20"/>
        </w:rPr>
        <w:t xml:space="preserve"> por personas físicas y no jurídicas, como puede ser mediante la modificación de los sistemas tributarios de IVA o IRPF</w:t>
      </w:r>
      <w:r w:rsidR="006F77E6">
        <w:rPr>
          <w:rFonts w:ascii="Verdana" w:hAnsi="Verdana" w:cs="Verdana"/>
          <w:sz w:val="20"/>
          <w:szCs w:val="20"/>
        </w:rPr>
        <w:t>, puede ser una herramienta eficaz que no distorsiones al mercado y que permita, al mismo tiempo, la efectiva recepción de la compensación equitativa por copia privada de los titulares de derechos de propiedad intelectual.</w:t>
      </w:r>
    </w:p>
    <w:p w:rsidR="006F77E6" w:rsidRDefault="006F77E6" w:rsidP="00F87D74">
      <w:pPr>
        <w:autoSpaceDE w:val="0"/>
        <w:autoSpaceDN w:val="0"/>
        <w:adjustRightInd w:val="0"/>
        <w:jc w:val="both"/>
        <w:rPr>
          <w:rFonts w:ascii="Verdana" w:hAnsi="Verdana" w:cs="Verdana"/>
          <w:sz w:val="20"/>
          <w:szCs w:val="20"/>
        </w:rPr>
      </w:pPr>
    </w:p>
    <w:p w:rsidR="00106F16" w:rsidRDefault="006F77E6" w:rsidP="00106F16">
      <w:pPr>
        <w:autoSpaceDE w:val="0"/>
        <w:autoSpaceDN w:val="0"/>
        <w:adjustRightInd w:val="0"/>
        <w:jc w:val="both"/>
        <w:rPr>
          <w:rFonts w:ascii="Verdana" w:hAnsi="Verdana" w:cs="Verdana"/>
          <w:sz w:val="20"/>
          <w:szCs w:val="20"/>
        </w:rPr>
      </w:pPr>
      <w:r>
        <w:rPr>
          <w:rFonts w:ascii="Verdana" w:hAnsi="Verdana" w:cs="Verdana"/>
          <w:sz w:val="20"/>
          <w:szCs w:val="20"/>
        </w:rPr>
        <w:t>AMETIC se pone a disposición de los poderes públicos para analizar en profundidad alternativas al “canon digital” que se adecuen a las circunstancias y necesidades del siglo XXI.</w:t>
      </w:r>
    </w:p>
    <w:p w:rsidR="002A1EFA" w:rsidRDefault="002A1EFA" w:rsidP="00106F16">
      <w:pPr>
        <w:autoSpaceDE w:val="0"/>
        <w:autoSpaceDN w:val="0"/>
        <w:adjustRightInd w:val="0"/>
        <w:jc w:val="both"/>
        <w:rPr>
          <w:rFonts w:ascii="Verdana" w:hAnsi="Verdana" w:cs="Verdana"/>
          <w:sz w:val="20"/>
          <w:szCs w:val="20"/>
        </w:rPr>
      </w:pPr>
    </w:p>
    <w:p w:rsidR="002A1EFA" w:rsidRDefault="002A1EFA" w:rsidP="002A1EFA">
      <w:pPr>
        <w:pStyle w:val="Sinespaciado"/>
        <w:jc w:val="both"/>
        <w:rPr>
          <w:rFonts w:ascii="Verdana" w:hAnsi="Verdana" w:cstheme="minorHAnsi"/>
          <w:b/>
          <w:bCs/>
          <w:color w:val="000000" w:themeColor="text1"/>
          <w:sz w:val="18"/>
          <w:szCs w:val="18"/>
        </w:rPr>
      </w:pPr>
    </w:p>
    <w:p w:rsidR="002A1EFA" w:rsidRPr="002461C0" w:rsidRDefault="002A1EFA" w:rsidP="002A1EFA">
      <w:pPr>
        <w:pStyle w:val="Sinespaciado"/>
        <w:jc w:val="both"/>
        <w:rPr>
          <w:rFonts w:ascii="Verdana" w:hAnsi="Verdana" w:cstheme="minorHAnsi"/>
          <w:b/>
          <w:bCs/>
          <w:color w:val="000000" w:themeColor="text1"/>
          <w:sz w:val="18"/>
          <w:szCs w:val="18"/>
        </w:rPr>
      </w:pPr>
      <w:r w:rsidRPr="002461C0">
        <w:rPr>
          <w:rFonts w:ascii="Verdana" w:hAnsi="Verdana" w:cstheme="minorHAnsi"/>
          <w:b/>
          <w:bCs/>
          <w:color w:val="000000" w:themeColor="text1"/>
          <w:sz w:val="18"/>
          <w:szCs w:val="18"/>
        </w:rPr>
        <w:t xml:space="preserve">Sobre </w:t>
      </w:r>
      <w:proofErr w:type="spellStart"/>
      <w:r w:rsidRPr="002461C0">
        <w:rPr>
          <w:rFonts w:ascii="Verdana" w:hAnsi="Verdana" w:cstheme="minorHAnsi"/>
          <w:b/>
          <w:bCs/>
          <w:color w:val="000000" w:themeColor="text1"/>
          <w:sz w:val="18"/>
          <w:szCs w:val="18"/>
        </w:rPr>
        <w:t>Ametic</w:t>
      </w:r>
      <w:proofErr w:type="spellEnd"/>
    </w:p>
    <w:p w:rsidR="002A1EFA" w:rsidRPr="002461C0" w:rsidRDefault="002A1EFA" w:rsidP="002A1EFA">
      <w:pPr>
        <w:pStyle w:val="Sinespaciado"/>
        <w:jc w:val="both"/>
        <w:rPr>
          <w:rFonts w:ascii="Verdana" w:hAnsi="Verdana" w:cstheme="minorHAnsi"/>
          <w:color w:val="000000" w:themeColor="text1"/>
          <w:sz w:val="18"/>
          <w:szCs w:val="18"/>
        </w:rPr>
      </w:pPr>
      <w:r w:rsidRPr="002461C0">
        <w:rPr>
          <w:rFonts w:ascii="Verdana" w:hAnsi="Verdana" w:cstheme="minorHAnsi"/>
          <w:color w:val="000000" w:themeColor="text1"/>
          <w:sz w:val="18"/>
          <w:szCs w:val="18"/>
          <w:shd w:val="clear" w:color="auto" w:fill="FFFFFF"/>
        </w:rPr>
        <w:t>AMETIC, Asociación Multisectorial de Empresas de la Electrónica, las Tecnologías de la Información y Comunicación, de las Telecomunicaciones y de los Contenidos</w:t>
      </w:r>
      <w:r w:rsidRPr="002461C0">
        <w:rPr>
          <w:rStyle w:val="apple-converted-space"/>
          <w:rFonts w:ascii="Verdana" w:hAnsi="Verdana" w:cstheme="minorHAnsi"/>
          <w:color w:val="000000" w:themeColor="text1"/>
          <w:sz w:val="18"/>
          <w:szCs w:val="18"/>
          <w:shd w:val="clear" w:color="auto" w:fill="FFFFFF"/>
        </w:rPr>
        <w:t xml:space="preserve"> </w:t>
      </w:r>
      <w:r w:rsidRPr="002461C0">
        <w:rPr>
          <w:rFonts w:ascii="Verdana" w:hAnsi="Verdana" w:cstheme="minorHAnsi"/>
          <w:color w:val="000000" w:themeColor="text1"/>
          <w:sz w:val="18"/>
          <w:szCs w:val="18"/>
          <w:shd w:val="clear" w:color="auto" w:fill="FFFFFF"/>
        </w:rPr>
        <w:t xml:space="preserve">Digitales, </w:t>
      </w:r>
      <w:r w:rsidRPr="002461C0">
        <w:rPr>
          <w:rFonts w:ascii="Verdana" w:hAnsi="Verdana" w:cstheme="minorHAnsi"/>
          <w:color w:val="000000" w:themeColor="text1"/>
          <w:sz w:val="18"/>
          <w:szCs w:val="18"/>
        </w:rPr>
        <w:t xml:space="preserve">lidera, en el ámbito nacional, los intereses empresariales de un </w:t>
      </w:r>
      <w:proofErr w:type="spellStart"/>
      <w:r w:rsidRPr="002461C0">
        <w:rPr>
          <w:rFonts w:ascii="Verdana" w:hAnsi="Verdana" w:cstheme="minorHAnsi"/>
          <w:color w:val="000000" w:themeColor="text1"/>
          <w:sz w:val="18"/>
          <w:szCs w:val="18"/>
        </w:rPr>
        <w:t>hipersector</w:t>
      </w:r>
      <w:proofErr w:type="spellEnd"/>
      <w:r w:rsidRPr="002461C0">
        <w:rPr>
          <w:rFonts w:ascii="Verdana" w:hAnsi="Verdana" w:cstheme="minorHAnsi"/>
          <w:color w:val="000000" w:themeColor="text1"/>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2A1EFA" w:rsidRPr="002461C0" w:rsidRDefault="002A1EFA" w:rsidP="002A1EFA">
      <w:pPr>
        <w:autoSpaceDE w:val="0"/>
        <w:autoSpaceDN w:val="0"/>
        <w:adjustRightInd w:val="0"/>
        <w:jc w:val="both"/>
        <w:rPr>
          <w:rStyle w:val="Hipervnculo"/>
          <w:rFonts w:ascii="Verdana" w:hAnsi="Verdana" w:cstheme="minorHAnsi"/>
          <w:sz w:val="18"/>
          <w:szCs w:val="18"/>
        </w:rPr>
      </w:pPr>
      <w:hyperlink r:id="rId7" w:history="1">
        <w:r w:rsidRPr="002461C0">
          <w:rPr>
            <w:rStyle w:val="Hipervnculo"/>
            <w:rFonts w:ascii="Verdana" w:hAnsi="Verdana" w:cstheme="minorHAnsi"/>
            <w:sz w:val="18"/>
            <w:szCs w:val="18"/>
          </w:rPr>
          <w:t>www.ametic.es</w:t>
        </w:r>
      </w:hyperlink>
    </w:p>
    <w:p w:rsidR="002A1EFA" w:rsidRPr="002461C0" w:rsidRDefault="002A1EFA" w:rsidP="002A1EFA">
      <w:pPr>
        <w:autoSpaceDE w:val="0"/>
        <w:autoSpaceDN w:val="0"/>
        <w:adjustRightInd w:val="0"/>
        <w:jc w:val="both"/>
        <w:rPr>
          <w:rFonts w:ascii="Verdana" w:hAnsi="Verdana" w:cstheme="minorHAnsi"/>
          <w:color w:val="0000FF"/>
          <w:sz w:val="18"/>
          <w:szCs w:val="18"/>
          <w:u w:val="single"/>
        </w:rPr>
      </w:pPr>
    </w:p>
    <w:p w:rsidR="002A1EFA" w:rsidRPr="002461C0" w:rsidRDefault="002A1EFA" w:rsidP="002A1EFA">
      <w:pPr>
        <w:autoSpaceDE w:val="0"/>
        <w:autoSpaceDN w:val="0"/>
        <w:adjustRightInd w:val="0"/>
        <w:jc w:val="both"/>
        <w:rPr>
          <w:rFonts w:ascii="Verdana" w:hAnsi="Verdana" w:cs="Arial"/>
          <w:color w:val="404040" w:themeColor="text1" w:themeTint="BF"/>
          <w:sz w:val="20"/>
          <w:szCs w:val="20"/>
        </w:rPr>
      </w:pPr>
      <w:r w:rsidRPr="00B81326">
        <w:rPr>
          <w:rFonts w:ascii="Verdana" w:hAnsi="Verdana" w:cs="Arial"/>
          <w:noProof/>
          <w:color w:val="404040" w:themeColor="text1" w:themeTint="BF"/>
          <w:sz w:val="18"/>
          <w:szCs w:val="18"/>
        </w:rPr>
        <w:drawing>
          <wp:inline distT="0" distB="0" distL="0" distR="0" wp14:anchorId="5DD886C1" wp14:editId="56B67C7E">
            <wp:extent cx="1680327" cy="57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1694963" cy="582883"/>
                    </a:xfrm>
                    <a:prstGeom prst="rect">
                      <a:avLst/>
                    </a:prstGeom>
                    <a:noFill/>
                    <a:ln w="9525">
                      <a:noFill/>
                      <a:miter lim="800000"/>
                      <a:headEnd/>
                      <a:tailEnd/>
                    </a:ln>
                  </pic:spPr>
                </pic:pic>
              </a:graphicData>
            </a:graphic>
          </wp:inline>
        </w:drawing>
      </w:r>
    </w:p>
    <w:p w:rsidR="002A1EFA" w:rsidRDefault="002A1EFA" w:rsidP="00106F16">
      <w:pPr>
        <w:autoSpaceDE w:val="0"/>
        <w:autoSpaceDN w:val="0"/>
        <w:adjustRightInd w:val="0"/>
        <w:jc w:val="both"/>
        <w:rPr>
          <w:rFonts w:ascii="Verdana" w:hAnsi="Verdana" w:cs="Verdana"/>
          <w:sz w:val="20"/>
          <w:szCs w:val="20"/>
        </w:rPr>
      </w:pPr>
      <w:bookmarkStart w:id="0" w:name="_GoBack"/>
      <w:bookmarkEnd w:id="0"/>
    </w:p>
    <w:sectPr w:rsidR="002A1EFA" w:rsidSect="00CE32D0">
      <w:headerReference w:type="default" r:id="rId9"/>
      <w:footerReference w:type="default" r:id="rId10"/>
      <w:pgSz w:w="12240" w:h="15840"/>
      <w:pgMar w:top="226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7B2" w:rsidRDefault="00C047B2" w:rsidP="00CE32D0">
      <w:r>
        <w:separator/>
      </w:r>
    </w:p>
  </w:endnote>
  <w:endnote w:type="continuationSeparator" w:id="0">
    <w:p w:rsidR="00C047B2" w:rsidRDefault="00C047B2" w:rsidP="00C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FA" w:rsidRPr="009E1311" w:rsidRDefault="002A1EFA" w:rsidP="002A1EFA">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2A1EFA" w:rsidRPr="009E1311" w:rsidRDefault="002A1EFA" w:rsidP="002A1EFA">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 Comunicación, de las Telecomunicaciones y de los Contenidos</w:t>
    </w:r>
    <w:r w:rsidRPr="009E1311">
      <w:rPr>
        <w:rStyle w:val="apple-converted-space"/>
        <w:rFonts w:ascii="Verdana" w:hAnsi="Verdana" w:cs="Arial"/>
        <w:color w:val="404040"/>
        <w:sz w:val="18"/>
        <w:szCs w:val="18"/>
        <w:shd w:val="clear" w:color="auto" w:fill="FFFFFF"/>
      </w:rPr>
      <w:t> </w:t>
    </w:r>
    <w:r w:rsidRPr="009E1311">
      <w:rPr>
        <w:rFonts w:ascii="Verdana" w:hAnsi="Verdana" w:cs="Arial"/>
        <w:bCs/>
        <w:color w:val="404040"/>
        <w:sz w:val="18"/>
        <w:szCs w:val="18"/>
        <w:shd w:val="clear" w:color="auto" w:fill="FFFFFF"/>
      </w:rPr>
      <w:t>Digitales</w:t>
    </w:r>
  </w:p>
  <w:p w:rsidR="002A1EFA" w:rsidRPr="009E1311" w:rsidRDefault="002A1EFA" w:rsidP="002A1EFA">
    <w:pPr>
      <w:pStyle w:val="Piedepgina"/>
      <w:jc w:val="center"/>
      <w:rPr>
        <w:rFonts w:ascii="Verdana" w:hAnsi="Verdana" w:cs="Arial"/>
        <w:bCs/>
        <w:color w:val="404040"/>
        <w:sz w:val="18"/>
        <w:szCs w:val="18"/>
        <w:shd w:val="clear" w:color="auto" w:fill="FFFFFF"/>
      </w:rPr>
    </w:pPr>
  </w:p>
  <w:p w:rsidR="002A1EFA" w:rsidRPr="009E1311" w:rsidRDefault="002A1EFA" w:rsidP="002A1EFA">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2A1EFA" w:rsidRPr="009E1311" w:rsidRDefault="002A1EFA" w:rsidP="002A1EFA">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p w:rsidR="002A1EFA" w:rsidRDefault="002A1E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7B2" w:rsidRDefault="00C047B2" w:rsidP="00CE32D0">
      <w:r>
        <w:separator/>
      </w:r>
    </w:p>
  </w:footnote>
  <w:footnote w:type="continuationSeparator" w:id="0">
    <w:p w:rsidR="00C047B2" w:rsidRDefault="00C047B2" w:rsidP="00CE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5A" w:rsidRDefault="00786B32" w:rsidP="00FB335A">
    <w:pPr>
      <w:pStyle w:val="Encabezado"/>
      <w:jc w:val="right"/>
    </w:pPr>
    <w:r>
      <w:rPr>
        <w:noProof/>
      </w:rPr>
      <w:drawing>
        <wp:anchor distT="0" distB="0" distL="114300" distR="114300" simplePos="0" relativeHeight="251657216" behindDoc="0" locked="0" layoutInCell="1" allowOverlap="1" wp14:anchorId="2D845DE2" wp14:editId="4A127FBE">
          <wp:simplePos x="0" y="0"/>
          <wp:positionH relativeFrom="column">
            <wp:posOffset>0</wp:posOffset>
          </wp:positionH>
          <wp:positionV relativeFrom="paragraph">
            <wp:posOffset>-133985</wp:posOffset>
          </wp:positionV>
          <wp:extent cx="1958975" cy="748665"/>
          <wp:effectExtent l="0" t="0" r="3175" b="0"/>
          <wp:wrapNone/>
          <wp:docPr id="2" name="Imagen 2" descr="LOGO_LEYENDA_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EYENDA_DER"/>
                  <pic:cNvPicPr>
                    <a:picLocks noChangeAspect="1" noChangeArrowheads="1"/>
                  </pic:cNvPicPr>
                </pic:nvPicPr>
                <pic:blipFill>
                  <a:blip r:embed="rId1">
                    <a:extLst>
                      <a:ext uri="{28A0092B-C50C-407E-A947-70E740481C1C}">
                        <a14:useLocalDpi xmlns:a14="http://schemas.microsoft.com/office/drawing/2010/main" val="0"/>
                      </a:ext>
                    </a:extLst>
                  </a:blip>
                  <a:srcRect t="7906" b="38620"/>
                  <a:stretch>
                    <a:fillRect/>
                  </a:stretch>
                </pic:blipFill>
                <pic:spPr bwMode="auto">
                  <a:xfrm>
                    <a:off x="0" y="0"/>
                    <a:ext cx="195897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2D0">
      <w:tab/>
    </w:r>
  </w:p>
  <w:p w:rsidR="002A1EFA" w:rsidRDefault="002A1EFA" w:rsidP="00FB335A">
    <w:pPr>
      <w:pStyle w:val="Encabezado"/>
      <w:jc w:val="right"/>
    </w:pPr>
  </w:p>
  <w:p w:rsidR="002A1EFA" w:rsidRDefault="002A1EFA" w:rsidP="00FB335A">
    <w:pPr>
      <w:pStyle w:val="Encabezado"/>
      <w:jc w:val="right"/>
    </w:pPr>
  </w:p>
  <w:p w:rsidR="002A1EFA" w:rsidRPr="00CE32D0" w:rsidRDefault="002A1EFA" w:rsidP="00FB335A">
    <w:pPr>
      <w:pStyle w:val="Encabezado"/>
      <w:jc w:val="right"/>
      <w:rPr>
        <w:rFonts w:asciiTheme="minorHAnsi" w:hAnsiTheme="minorHAnsi"/>
        <w:sz w:val="22"/>
        <w:szCs w:val="22"/>
      </w:rPr>
    </w:pPr>
  </w:p>
  <w:p w:rsidR="002A1EFA" w:rsidRPr="009E1311" w:rsidRDefault="002A1EFA" w:rsidP="002A1EFA">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3366A"/>
    <w:multiLevelType w:val="hybridMultilevel"/>
    <w:tmpl w:val="920085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1F4472"/>
    <w:multiLevelType w:val="hybridMultilevel"/>
    <w:tmpl w:val="85C2E4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16"/>
    <w:rsid w:val="00106F16"/>
    <w:rsid w:val="002A1EFA"/>
    <w:rsid w:val="00331B67"/>
    <w:rsid w:val="00356ECB"/>
    <w:rsid w:val="00405CA5"/>
    <w:rsid w:val="00510BAA"/>
    <w:rsid w:val="00627E04"/>
    <w:rsid w:val="00651D23"/>
    <w:rsid w:val="00675B06"/>
    <w:rsid w:val="006F77E6"/>
    <w:rsid w:val="00757F56"/>
    <w:rsid w:val="007811D8"/>
    <w:rsid w:val="00786B32"/>
    <w:rsid w:val="007C5CCF"/>
    <w:rsid w:val="00810415"/>
    <w:rsid w:val="00835A54"/>
    <w:rsid w:val="008E4C32"/>
    <w:rsid w:val="00905AAF"/>
    <w:rsid w:val="0097484D"/>
    <w:rsid w:val="00A9157B"/>
    <w:rsid w:val="00AE4DAE"/>
    <w:rsid w:val="00AE637C"/>
    <w:rsid w:val="00B07A44"/>
    <w:rsid w:val="00B5534D"/>
    <w:rsid w:val="00B85809"/>
    <w:rsid w:val="00C047B2"/>
    <w:rsid w:val="00CE32D0"/>
    <w:rsid w:val="00D92BB3"/>
    <w:rsid w:val="00EB6E47"/>
    <w:rsid w:val="00F87D74"/>
    <w:rsid w:val="00FB335A"/>
    <w:rsid w:val="00FC28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A435F"/>
  <w15:chartTrackingRefBased/>
  <w15:docId w15:val="{BDB64CF5-7724-4808-B176-6D06202B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6F1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6F16"/>
    <w:pPr>
      <w:ind w:left="720"/>
      <w:contextualSpacing/>
    </w:pPr>
  </w:style>
  <w:style w:type="paragraph" w:customStyle="1" w:styleId="msolistparagraph0">
    <w:name w:val="msolistparagraph"/>
    <w:basedOn w:val="Normal"/>
    <w:rsid w:val="00675B06"/>
    <w:pPr>
      <w:ind w:left="720"/>
    </w:pPr>
    <w:rPr>
      <w:rFonts w:ascii="Calibri" w:hAnsi="Calibri"/>
      <w:sz w:val="22"/>
      <w:szCs w:val="22"/>
    </w:rPr>
  </w:style>
  <w:style w:type="paragraph" w:styleId="Encabezado">
    <w:name w:val="header"/>
    <w:basedOn w:val="Normal"/>
    <w:link w:val="EncabezadoCar"/>
    <w:uiPriority w:val="99"/>
    <w:unhideWhenUsed/>
    <w:rsid w:val="00CE32D0"/>
    <w:pPr>
      <w:tabs>
        <w:tab w:val="center" w:pos="4419"/>
        <w:tab w:val="right" w:pos="8838"/>
      </w:tabs>
    </w:pPr>
  </w:style>
  <w:style w:type="character" w:customStyle="1" w:styleId="EncabezadoCar">
    <w:name w:val="Encabezado Car"/>
    <w:basedOn w:val="Fuentedeprrafopredeter"/>
    <w:link w:val="Encabezado"/>
    <w:uiPriority w:val="99"/>
    <w:rsid w:val="00CE32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E32D0"/>
    <w:pPr>
      <w:tabs>
        <w:tab w:val="center" w:pos="4419"/>
        <w:tab w:val="right" w:pos="8838"/>
      </w:tabs>
    </w:pPr>
  </w:style>
  <w:style w:type="character" w:customStyle="1" w:styleId="PiedepginaCar">
    <w:name w:val="Pie de página Car"/>
    <w:basedOn w:val="Fuentedeprrafopredeter"/>
    <w:link w:val="Piedepgina"/>
    <w:uiPriority w:val="99"/>
    <w:rsid w:val="00CE32D0"/>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A1EFA"/>
    <w:rPr>
      <w:rFonts w:cs="Times New Roman"/>
    </w:rPr>
  </w:style>
  <w:style w:type="paragraph" w:styleId="Sinespaciado">
    <w:name w:val="No Spacing"/>
    <w:uiPriority w:val="1"/>
    <w:qFormat/>
    <w:rsid w:val="002A1EFA"/>
    <w:pPr>
      <w:spacing w:after="0" w:line="240" w:lineRule="auto"/>
    </w:pPr>
    <w:rPr>
      <w:rFonts w:ascii="Calibri" w:eastAsia="Calibri" w:hAnsi="Calibri" w:cs="Times New Roman"/>
    </w:rPr>
  </w:style>
  <w:style w:type="character" w:styleId="Hipervnculo">
    <w:name w:val="Hyperlink"/>
    <w:basedOn w:val="Fuentedeprrafopredeter"/>
    <w:uiPriority w:val="99"/>
    <w:semiHidden/>
    <w:rsid w:val="002A1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me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AMETIC</dc:creator>
  <cp:keywords/>
  <dc:description/>
  <cp:lastModifiedBy>CPI_AMETIC</cp:lastModifiedBy>
  <cp:revision>4</cp:revision>
  <dcterms:created xsi:type="dcterms:W3CDTF">2016-12-19T15:37:00Z</dcterms:created>
  <dcterms:modified xsi:type="dcterms:W3CDTF">2016-12-19T15:42:00Z</dcterms:modified>
</cp:coreProperties>
</file>