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C0" w:rsidRPr="009E1CC0" w:rsidRDefault="00EC560F" w:rsidP="00EC560F">
      <w:pPr>
        <w:spacing w:after="200" w:line="276" w:lineRule="auto"/>
        <w:jc w:val="both"/>
        <w:rPr>
          <w:rFonts w:ascii="Verdana" w:eastAsiaTheme="minorHAnsi" w:hAnsi="Verdana" w:cstheme="minorBidi"/>
          <w:b/>
          <w:color w:val="996633"/>
          <w:sz w:val="22"/>
          <w:szCs w:val="22"/>
          <w:lang w:eastAsia="en-US"/>
        </w:rPr>
      </w:pPr>
      <w:bookmarkStart w:id="0" w:name="_GoBack"/>
      <w:bookmarkEnd w:id="0"/>
      <w:r w:rsidRPr="00EC560F">
        <w:rPr>
          <w:rFonts w:ascii="Verdana" w:eastAsiaTheme="minorHAnsi" w:hAnsi="Verdana" w:cstheme="minorBidi"/>
          <w:b/>
          <w:color w:val="996633"/>
          <w:sz w:val="22"/>
          <w:szCs w:val="22"/>
          <w:lang w:eastAsia="en-US"/>
        </w:rPr>
        <w:t>Según el análisis</w:t>
      </w:r>
      <w:r>
        <w:rPr>
          <w:rFonts w:ascii="Verdana" w:eastAsiaTheme="minorHAnsi" w:hAnsi="Verdana" w:cstheme="minorBidi"/>
          <w:b/>
          <w:color w:val="996633"/>
          <w:sz w:val="22"/>
          <w:szCs w:val="22"/>
          <w:lang w:eastAsia="en-US"/>
        </w:rPr>
        <w:t xml:space="preserve"> de</w:t>
      </w:r>
      <w:r w:rsidRPr="00EC560F">
        <w:rPr>
          <w:rFonts w:ascii="Verdana" w:eastAsiaTheme="minorHAnsi" w:hAnsi="Verdana" w:cstheme="minorBidi"/>
          <w:b/>
          <w:color w:val="996633"/>
          <w:sz w:val="22"/>
          <w:szCs w:val="22"/>
          <w:lang w:eastAsia="en-US"/>
        </w:rPr>
        <w:t xml:space="preserve"> mercado de AMETIC para el pasado eje</w:t>
      </w:r>
      <w:r>
        <w:rPr>
          <w:rFonts w:ascii="Verdana" w:eastAsiaTheme="minorHAnsi" w:hAnsi="Verdana" w:cstheme="minorBidi"/>
          <w:b/>
          <w:color w:val="996633"/>
          <w:sz w:val="22"/>
          <w:szCs w:val="22"/>
          <w:lang w:eastAsia="en-US"/>
        </w:rPr>
        <w:t>r</w:t>
      </w:r>
      <w:r w:rsidRPr="00EC560F">
        <w:rPr>
          <w:rFonts w:ascii="Verdana" w:eastAsiaTheme="minorHAnsi" w:hAnsi="Verdana" w:cstheme="minorBidi"/>
          <w:b/>
          <w:color w:val="996633"/>
          <w:sz w:val="22"/>
          <w:szCs w:val="22"/>
          <w:lang w:eastAsia="en-US"/>
        </w:rPr>
        <w:t>cicio</w:t>
      </w:r>
    </w:p>
    <w:p w:rsidR="00EC560F" w:rsidRPr="00DA6EC4" w:rsidRDefault="009E1CC0" w:rsidP="00EC560F">
      <w:pPr>
        <w:spacing w:after="200" w:line="276" w:lineRule="auto"/>
        <w:contextualSpacing/>
        <w:jc w:val="center"/>
        <w:rPr>
          <w:rFonts w:ascii="Verdana" w:eastAsiaTheme="minorHAnsi" w:hAnsi="Verdana" w:cstheme="minorBidi"/>
          <w:b/>
          <w:color w:val="996633"/>
          <w:sz w:val="36"/>
          <w:szCs w:val="36"/>
          <w:lang w:eastAsia="en-US"/>
        </w:rPr>
      </w:pPr>
      <w:r w:rsidRPr="00DA6EC4">
        <w:rPr>
          <w:rFonts w:ascii="Verdana" w:eastAsiaTheme="minorHAnsi" w:hAnsi="Verdana" w:cstheme="minorBidi"/>
          <w:b/>
          <w:color w:val="996633"/>
          <w:sz w:val="36"/>
          <w:szCs w:val="36"/>
          <w:lang w:eastAsia="en-US"/>
        </w:rPr>
        <w:t>El hipersector</w:t>
      </w:r>
      <w:r w:rsidR="00EC560F" w:rsidRPr="00DA6EC4">
        <w:rPr>
          <w:rFonts w:ascii="Verdana" w:eastAsiaTheme="minorHAnsi" w:hAnsi="Verdana" w:cstheme="minorBidi"/>
          <w:b/>
          <w:color w:val="996633"/>
          <w:sz w:val="36"/>
          <w:szCs w:val="36"/>
          <w:lang w:eastAsia="en-US"/>
        </w:rPr>
        <w:t xml:space="preserve"> de las TIC</w:t>
      </w:r>
      <w:r w:rsidRPr="00DA6EC4">
        <w:rPr>
          <w:rFonts w:ascii="Verdana" w:eastAsiaTheme="minorHAnsi" w:hAnsi="Verdana" w:cstheme="minorBidi"/>
          <w:b/>
          <w:color w:val="996633"/>
          <w:sz w:val="36"/>
          <w:szCs w:val="36"/>
          <w:lang w:eastAsia="en-US"/>
        </w:rPr>
        <w:t xml:space="preserve"> persiste</w:t>
      </w:r>
    </w:p>
    <w:p w:rsidR="00EC560F" w:rsidRPr="00DA6EC4" w:rsidRDefault="009E1CC0" w:rsidP="00EC560F">
      <w:pPr>
        <w:spacing w:after="200" w:line="276" w:lineRule="auto"/>
        <w:contextualSpacing/>
        <w:jc w:val="center"/>
        <w:rPr>
          <w:rFonts w:ascii="Verdana" w:eastAsiaTheme="minorHAnsi" w:hAnsi="Verdana" w:cstheme="minorBidi"/>
          <w:b/>
          <w:color w:val="996633"/>
          <w:sz w:val="36"/>
          <w:szCs w:val="36"/>
          <w:lang w:eastAsia="en-US"/>
        </w:rPr>
      </w:pPr>
      <w:r w:rsidRPr="00DA6EC4">
        <w:rPr>
          <w:rFonts w:ascii="Verdana" w:eastAsiaTheme="minorHAnsi" w:hAnsi="Verdana" w:cstheme="minorBidi"/>
          <w:b/>
          <w:color w:val="996633"/>
          <w:sz w:val="36"/>
          <w:szCs w:val="36"/>
          <w:lang w:eastAsia="en-US"/>
        </w:rPr>
        <w:t xml:space="preserve"> </w:t>
      </w:r>
      <w:proofErr w:type="gramStart"/>
      <w:r w:rsidRPr="00DA6EC4">
        <w:rPr>
          <w:rFonts w:ascii="Verdana" w:eastAsiaTheme="minorHAnsi" w:hAnsi="Verdana" w:cstheme="minorBidi"/>
          <w:b/>
          <w:color w:val="996633"/>
          <w:sz w:val="36"/>
          <w:szCs w:val="36"/>
          <w:lang w:eastAsia="en-US"/>
        </w:rPr>
        <w:t>en</w:t>
      </w:r>
      <w:proofErr w:type="gramEnd"/>
      <w:r w:rsidRPr="00DA6EC4">
        <w:rPr>
          <w:rFonts w:ascii="Verdana" w:eastAsiaTheme="minorHAnsi" w:hAnsi="Verdana" w:cstheme="minorBidi"/>
          <w:b/>
          <w:color w:val="996633"/>
          <w:sz w:val="36"/>
          <w:szCs w:val="36"/>
          <w:lang w:eastAsia="en-US"/>
        </w:rPr>
        <w:t xml:space="preserve"> su contracción en 2013</w:t>
      </w:r>
    </w:p>
    <w:p w:rsidR="009E1CC0" w:rsidRPr="00EC560F" w:rsidRDefault="00EC560F" w:rsidP="009F3D7E">
      <w:pPr>
        <w:pStyle w:val="Sinespaciado"/>
        <w:numPr>
          <w:ilvl w:val="0"/>
          <w:numId w:val="3"/>
        </w:numPr>
        <w:jc w:val="both"/>
        <w:rPr>
          <w:rFonts w:ascii="Verdana" w:hAnsi="Verdana"/>
          <w:b/>
          <w:color w:val="996633"/>
        </w:rPr>
      </w:pPr>
      <w:r w:rsidRPr="00EC560F">
        <w:rPr>
          <w:rFonts w:ascii="Verdana" w:hAnsi="Verdana"/>
          <w:b/>
          <w:color w:val="996633"/>
        </w:rPr>
        <w:t>Experimenta</w:t>
      </w:r>
      <w:r w:rsidR="009E1CC0" w:rsidRPr="00EC560F">
        <w:rPr>
          <w:rFonts w:ascii="Verdana" w:hAnsi="Verdana"/>
          <w:b/>
          <w:color w:val="996633"/>
        </w:rPr>
        <w:t xml:space="preserve"> una caída agregada del -4,7%</w:t>
      </w:r>
      <w:r w:rsidRPr="00EC560F">
        <w:rPr>
          <w:rFonts w:ascii="Verdana" w:hAnsi="Verdana"/>
          <w:b/>
          <w:color w:val="996633"/>
        </w:rPr>
        <w:t xml:space="preserve"> </w:t>
      </w:r>
      <w:r w:rsidR="009F3D7E">
        <w:rPr>
          <w:rFonts w:ascii="Verdana" w:hAnsi="Verdana"/>
          <w:b/>
          <w:color w:val="996633"/>
        </w:rPr>
        <w:t xml:space="preserve">que reduce el volumen de negocio a </w:t>
      </w:r>
      <w:r w:rsidR="009E1CC0" w:rsidRPr="00EC560F">
        <w:rPr>
          <w:rFonts w:ascii="Verdana" w:hAnsi="Verdana"/>
          <w:b/>
          <w:color w:val="996633"/>
        </w:rPr>
        <w:t>77.935 millones de euros</w:t>
      </w:r>
      <w:r w:rsidRPr="00EC560F">
        <w:rPr>
          <w:rFonts w:ascii="Verdana" w:hAnsi="Verdana"/>
          <w:b/>
          <w:color w:val="996633"/>
        </w:rPr>
        <w:t>.</w:t>
      </w:r>
    </w:p>
    <w:p w:rsidR="00EC560F" w:rsidRPr="00EC560F" w:rsidRDefault="00EC560F" w:rsidP="009F3D7E">
      <w:pPr>
        <w:pStyle w:val="Sinespaciado"/>
        <w:jc w:val="both"/>
        <w:rPr>
          <w:rFonts w:ascii="Verdana" w:hAnsi="Verdana"/>
          <w:b/>
          <w:color w:val="996633"/>
        </w:rPr>
      </w:pPr>
    </w:p>
    <w:p w:rsidR="009E1CC0" w:rsidRPr="00EC560F" w:rsidRDefault="009E1CC0" w:rsidP="009F3D7E">
      <w:pPr>
        <w:pStyle w:val="Sinespaciado"/>
        <w:numPr>
          <w:ilvl w:val="0"/>
          <w:numId w:val="3"/>
        </w:numPr>
        <w:jc w:val="both"/>
        <w:rPr>
          <w:rFonts w:ascii="Verdana" w:hAnsi="Verdana"/>
          <w:b/>
          <w:color w:val="996633"/>
        </w:rPr>
      </w:pPr>
      <w:r w:rsidRPr="00EC560F">
        <w:rPr>
          <w:rFonts w:ascii="Verdana" w:hAnsi="Verdana"/>
          <w:b/>
          <w:color w:val="996633"/>
        </w:rPr>
        <w:t>Los datos obtenidos reflejan la continuidad en la preocupante tendencia decreciente encadenada en los tres últimos años</w:t>
      </w:r>
      <w:r w:rsidR="00EC560F" w:rsidRPr="00EC560F">
        <w:rPr>
          <w:rFonts w:ascii="Verdana" w:hAnsi="Verdana"/>
          <w:b/>
          <w:color w:val="996633"/>
        </w:rPr>
        <w:t>.</w:t>
      </w:r>
    </w:p>
    <w:p w:rsidR="00EC560F" w:rsidRPr="00EC560F" w:rsidRDefault="00EC560F" w:rsidP="009F3D7E">
      <w:pPr>
        <w:pStyle w:val="Sinespaciado"/>
        <w:jc w:val="both"/>
        <w:rPr>
          <w:rFonts w:ascii="Verdana" w:hAnsi="Verdana"/>
          <w:b/>
          <w:color w:val="996633"/>
        </w:rPr>
      </w:pPr>
    </w:p>
    <w:p w:rsidR="009E1CC0" w:rsidRDefault="00EC560F" w:rsidP="009F3D7E">
      <w:pPr>
        <w:pStyle w:val="Sinespaciado"/>
        <w:numPr>
          <w:ilvl w:val="0"/>
          <w:numId w:val="3"/>
        </w:numPr>
        <w:jc w:val="both"/>
        <w:rPr>
          <w:rFonts w:ascii="Verdana" w:hAnsi="Verdana"/>
          <w:b/>
          <w:color w:val="996633"/>
        </w:rPr>
      </w:pPr>
      <w:r w:rsidRPr="00EC560F">
        <w:rPr>
          <w:rFonts w:ascii="Verdana" w:hAnsi="Verdana"/>
          <w:b/>
          <w:color w:val="996633"/>
        </w:rPr>
        <w:t xml:space="preserve">La inclinación negativa </w:t>
      </w:r>
      <w:r w:rsidR="009F3D7E">
        <w:rPr>
          <w:rFonts w:ascii="Verdana" w:hAnsi="Verdana"/>
          <w:b/>
          <w:color w:val="996633"/>
        </w:rPr>
        <w:t>continúa</w:t>
      </w:r>
      <w:r w:rsidRPr="00EC560F">
        <w:rPr>
          <w:rFonts w:ascii="Verdana" w:hAnsi="Verdana"/>
          <w:b/>
          <w:color w:val="996633"/>
        </w:rPr>
        <w:t xml:space="preserve"> en 2014,</w:t>
      </w:r>
      <w:r w:rsidR="009E1CC0" w:rsidRPr="00EC560F">
        <w:rPr>
          <w:rFonts w:ascii="Verdana" w:hAnsi="Verdana"/>
          <w:b/>
          <w:color w:val="996633"/>
        </w:rPr>
        <w:t xml:space="preserve"> con una ligera deceleración en el pri</w:t>
      </w:r>
      <w:r w:rsidR="00AF15E4">
        <w:rPr>
          <w:rFonts w:ascii="Verdana" w:hAnsi="Verdana"/>
          <w:b/>
          <w:color w:val="996633"/>
        </w:rPr>
        <w:t>mer semestre del ejercicio (-3,3</w:t>
      </w:r>
      <w:r w:rsidR="009E1CC0" w:rsidRPr="00EC560F">
        <w:rPr>
          <w:rFonts w:ascii="Verdana" w:hAnsi="Verdana"/>
          <w:b/>
          <w:color w:val="996633"/>
        </w:rPr>
        <w:t>%)</w:t>
      </w:r>
      <w:r w:rsidRPr="00EC560F">
        <w:rPr>
          <w:rFonts w:ascii="Verdana" w:hAnsi="Verdana"/>
          <w:b/>
          <w:color w:val="996633"/>
        </w:rPr>
        <w:t>.</w:t>
      </w:r>
    </w:p>
    <w:p w:rsidR="003C619C" w:rsidRDefault="003C619C" w:rsidP="003C619C">
      <w:pPr>
        <w:pStyle w:val="Prrafodelista"/>
        <w:rPr>
          <w:rFonts w:ascii="Verdana" w:hAnsi="Verdana"/>
          <w:b/>
          <w:color w:val="996633"/>
        </w:rPr>
      </w:pPr>
    </w:p>
    <w:p w:rsidR="003C619C" w:rsidRPr="00EC560F" w:rsidRDefault="003C619C" w:rsidP="009F3D7E">
      <w:pPr>
        <w:pStyle w:val="Sinespaciado"/>
        <w:numPr>
          <w:ilvl w:val="0"/>
          <w:numId w:val="3"/>
        </w:numPr>
        <w:jc w:val="both"/>
        <w:rPr>
          <w:rFonts w:ascii="Verdana" w:hAnsi="Verdana"/>
          <w:b/>
          <w:color w:val="996633"/>
        </w:rPr>
      </w:pPr>
      <w:r>
        <w:rPr>
          <w:rFonts w:ascii="Verdana" w:hAnsi="Verdana"/>
          <w:b/>
          <w:color w:val="996633"/>
        </w:rPr>
        <w:t xml:space="preserve">Pese a los datos, la patronal tecnológica tiene confianza en el futuro ya que la tardía entrada del sector en la crisis </w:t>
      </w:r>
      <w:r w:rsidR="00375559">
        <w:rPr>
          <w:rFonts w:ascii="Verdana" w:hAnsi="Verdana"/>
          <w:b/>
          <w:color w:val="996633"/>
        </w:rPr>
        <w:t>comporta</w:t>
      </w:r>
      <w:r>
        <w:rPr>
          <w:rFonts w:ascii="Verdana" w:hAnsi="Verdana"/>
          <w:b/>
          <w:color w:val="996633"/>
        </w:rPr>
        <w:t xml:space="preserve"> un retraso en la recuperación que terminará llegando.</w:t>
      </w:r>
    </w:p>
    <w:p w:rsidR="00DA6EC4" w:rsidRDefault="00DA6EC4" w:rsidP="009F3D7E">
      <w:pPr>
        <w:spacing w:after="200" w:line="276" w:lineRule="auto"/>
        <w:jc w:val="both"/>
        <w:rPr>
          <w:rFonts w:ascii="Verdana" w:eastAsiaTheme="minorHAnsi" w:hAnsi="Verdana" w:cstheme="minorBidi"/>
          <w:i/>
          <w:color w:val="000000" w:themeColor="text1"/>
          <w:sz w:val="20"/>
          <w:szCs w:val="20"/>
          <w:lang w:eastAsia="en-US"/>
        </w:rPr>
      </w:pPr>
    </w:p>
    <w:p w:rsidR="009E1CC0" w:rsidRDefault="009F3D7E" w:rsidP="009F3D7E">
      <w:pPr>
        <w:spacing w:after="200" w:line="276" w:lineRule="auto"/>
        <w:jc w:val="both"/>
        <w:rPr>
          <w:rFonts w:ascii="Verdana" w:eastAsiaTheme="minorHAnsi" w:hAnsi="Verdana" w:cstheme="minorBidi"/>
          <w:color w:val="000000" w:themeColor="text1"/>
          <w:sz w:val="20"/>
          <w:szCs w:val="20"/>
          <w:lang w:eastAsia="en-US"/>
        </w:rPr>
      </w:pPr>
      <w:r w:rsidRPr="009F3D7E">
        <w:rPr>
          <w:rFonts w:ascii="Verdana" w:eastAsiaTheme="minorHAnsi" w:hAnsi="Verdana" w:cstheme="minorBidi"/>
          <w:i/>
          <w:color w:val="000000" w:themeColor="text1"/>
          <w:sz w:val="20"/>
          <w:szCs w:val="20"/>
          <w:lang w:eastAsia="en-US"/>
        </w:rPr>
        <w:t xml:space="preserve">Madrid, 4 de diciembre de 2014.- </w:t>
      </w:r>
      <w:r w:rsidR="009E1CC0" w:rsidRPr="009E1CC0">
        <w:rPr>
          <w:rFonts w:ascii="Verdana" w:eastAsiaTheme="minorHAnsi" w:hAnsi="Verdana" w:cstheme="minorBidi"/>
          <w:color w:val="000000" w:themeColor="text1"/>
          <w:sz w:val="20"/>
          <w:szCs w:val="20"/>
          <w:lang w:eastAsia="en-US"/>
        </w:rPr>
        <w:t>AMETIC</w:t>
      </w:r>
      <w:r w:rsidR="009E1CC0" w:rsidRPr="009F3D7E">
        <w:rPr>
          <w:rFonts w:ascii="Verdana" w:eastAsiaTheme="minorHAnsi" w:hAnsi="Verdana" w:cstheme="minorBidi"/>
          <w:color w:val="000000" w:themeColor="text1"/>
          <w:sz w:val="20"/>
          <w:szCs w:val="20"/>
          <w:lang w:eastAsia="en-US"/>
        </w:rPr>
        <w:t xml:space="preserve"> ha realizado un </w:t>
      </w:r>
      <w:r w:rsidR="009E1CC0" w:rsidRPr="009E1CC0">
        <w:rPr>
          <w:rFonts w:ascii="Verdana" w:eastAsiaTheme="minorHAnsi" w:hAnsi="Verdana" w:cstheme="minorBidi"/>
          <w:color w:val="000000" w:themeColor="text1"/>
          <w:sz w:val="20"/>
          <w:szCs w:val="20"/>
          <w:lang w:eastAsia="en-US"/>
        </w:rPr>
        <w:t>análisis del mercado interior vinculado al hipersector de las telecomunicaciones, tecnologías de la inform</w:t>
      </w:r>
      <w:r>
        <w:rPr>
          <w:rFonts w:ascii="Verdana" w:eastAsiaTheme="minorHAnsi" w:hAnsi="Verdana" w:cstheme="minorBidi"/>
          <w:color w:val="000000" w:themeColor="text1"/>
          <w:sz w:val="20"/>
          <w:szCs w:val="20"/>
          <w:lang w:eastAsia="en-US"/>
        </w:rPr>
        <w:t xml:space="preserve">ación, electrónica y contenidos </w:t>
      </w:r>
      <w:r w:rsidR="009E1CC0" w:rsidRPr="009F3D7E">
        <w:rPr>
          <w:rFonts w:ascii="Verdana" w:eastAsiaTheme="minorHAnsi" w:hAnsi="Verdana" w:cstheme="minorBidi"/>
          <w:color w:val="000000" w:themeColor="text1"/>
          <w:sz w:val="20"/>
          <w:szCs w:val="20"/>
          <w:lang w:eastAsia="en-US"/>
        </w:rPr>
        <w:t>digitales, correspondientes al año 2013, según el cual persiste una</w:t>
      </w:r>
      <w:r w:rsidR="009E1CC0" w:rsidRPr="009E1CC0">
        <w:rPr>
          <w:rFonts w:ascii="Verdana" w:eastAsiaTheme="minorHAnsi" w:hAnsi="Verdana" w:cstheme="minorBidi"/>
          <w:color w:val="000000" w:themeColor="text1"/>
          <w:sz w:val="20"/>
          <w:szCs w:val="20"/>
          <w:lang w:eastAsia="en-US"/>
        </w:rPr>
        <w:t xml:space="preserve"> tendencia </w:t>
      </w:r>
      <w:r w:rsidR="007F39A6" w:rsidRPr="009E1CC0">
        <w:rPr>
          <w:rFonts w:ascii="Verdana" w:eastAsiaTheme="minorHAnsi" w:hAnsi="Verdana" w:cstheme="minorBidi"/>
          <w:color w:val="000000" w:themeColor="text1"/>
          <w:sz w:val="20"/>
          <w:szCs w:val="20"/>
          <w:lang w:eastAsia="en-US"/>
        </w:rPr>
        <w:t xml:space="preserve">descendente </w:t>
      </w:r>
      <w:r w:rsidR="007F39A6" w:rsidRPr="009F3D7E">
        <w:rPr>
          <w:rFonts w:ascii="Verdana" w:eastAsiaTheme="minorHAnsi" w:hAnsi="Verdana" w:cstheme="minorBidi"/>
          <w:color w:val="000000" w:themeColor="text1"/>
          <w:sz w:val="20"/>
          <w:szCs w:val="20"/>
          <w:lang w:eastAsia="en-US"/>
        </w:rPr>
        <w:t>que</w:t>
      </w:r>
      <w:r w:rsidR="009E1CC0" w:rsidRPr="009F3D7E">
        <w:rPr>
          <w:rFonts w:ascii="Verdana" w:eastAsiaTheme="minorHAnsi" w:hAnsi="Verdana" w:cstheme="minorBidi"/>
          <w:color w:val="000000" w:themeColor="text1"/>
          <w:sz w:val="20"/>
          <w:szCs w:val="20"/>
          <w:lang w:eastAsia="en-US"/>
        </w:rPr>
        <w:t xml:space="preserve"> </w:t>
      </w:r>
      <w:r w:rsidR="009E1CC0" w:rsidRPr="009E1CC0">
        <w:rPr>
          <w:rFonts w:ascii="Verdana" w:eastAsiaTheme="minorHAnsi" w:hAnsi="Verdana" w:cstheme="minorBidi"/>
          <w:color w:val="000000" w:themeColor="text1"/>
          <w:sz w:val="20"/>
          <w:szCs w:val="20"/>
          <w:lang w:eastAsia="en-US"/>
        </w:rPr>
        <w:t>se mantuvo en el pasado ejercicio, con una caída del -4,7% en términos de mercado bruto, alcanzando un valor agregado de 77.935 millones de euros frente a los 81.742 millones de euros registrados en 2012.</w:t>
      </w:r>
    </w:p>
    <w:p w:rsidR="00375559" w:rsidRPr="009E1CC0" w:rsidRDefault="00375559" w:rsidP="00375559">
      <w:pPr>
        <w:spacing w:after="200" w:line="276" w:lineRule="auto"/>
        <w:jc w:val="both"/>
        <w:rPr>
          <w:rFonts w:ascii="Verdana" w:eastAsiaTheme="minorHAnsi" w:hAnsi="Verdana" w:cstheme="minorBidi"/>
          <w:color w:val="000000" w:themeColor="text1"/>
          <w:sz w:val="20"/>
          <w:szCs w:val="20"/>
          <w:lang w:eastAsia="en-US"/>
        </w:rPr>
      </w:pPr>
      <w:r w:rsidRPr="009E1CC0">
        <w:rPr>
          <w:rFonts w:ascii="Verdana" w:eastAsiaTheme="minorHAnsi" w:hAnsi="Verdana" w:cstheme="minorBidi"/>
          <w:color w:val="000000" w:themeColor="text1"/>
          <w:sz w:val="20"/>
          <w:szCs w:val="20"/>
          <w:lang w:eastAsia="en-US"/>
        </w:rPr>
        <w:t>Todos los sectores analizados -exceptuando segmentos específicos en el área de contenidos digitales (+0,2%) e ingresos anexos del sector telecomunicaciones (+9,9%</w:t>
      </w:r>
      <w:proofErr w:type="gramStart"/>
      <w:r w:rsidRPr="009E1CC0">
        <w:rPr>
          <w:rFonts w:ascii="Verdana" w:eastAsiaTheme="minorHAnsi" w:hAnsi="Verdana" w:cstheme="minorBidi"/>
          <w:color w:val="000000" w:themeColor="text1"/>
          <w:sz w:val="20"/>
          <w:szCs w:val="20"/>
          <w:lang w:eastAsia="en-US"/>
        </w:rPr>
        <w:t>)–</w:t>
      </w:r>
      <w:proofErr w:type="gramEnd"/>
      <w:r w:rsidRPr="009E1CC0">
        <w:rPr>
          <w:rFonts w:ascii="Verdana" w:eastAsiaTheme="minorHAnsi" w:hAnsi="Verdana" w:cstheme="minorBidi"/>
          <w:color w:val="000000" w:themeColor="text1"/>
          <w:sz w:val="20"/>
          <w:szCs w:val="20"/>
          <w:lang w:eastAsia="en-US"/>
        </w:rPr>
        <w:t xml:space="preserve"> reiteraron </w:t>
      </w:r>
      <w:r>
        <w:rPr>
          <w:rFonts w:ascii="Verdana" w:eastAsiaTheme="minorHAnsi" w:hAnsi="Verdana" w:cstheme="minorBidi"/>
          <w:color w:val="000000" w:themeColor="text1"/>
          <w:sz w:val="20"/>
          <w:szCs w:val="20"/>
          <w:lang w:eastAsia="en-US"/>
        </w:rPr>
        <w:t>descensos.</w:t>
      </w:r>
    </w:p>
    <w:p w:rsidR="00375559" w:rsidRPr="009F3D7E" w:rsidRDefault="00375559" w:rsidP="00375559">
      <w:pPr>
        <w:jc w:val="both"/>
        <w:rPr>
          <w:rFonts w:ascii="Verdana" w:eastAsiaTheme="minorHAnsi" w:hAnsi="Verdana" w:cstheme="minorBidi"/>
          <w:color w:val="000000" w:themeColor="text1"/>
          <w:sz w:val="20"/>
          <w:szCs w:val="20"/>
          <w:lang w:eastAsia="en-US"/>
        </w:rPr>
      </w:pPr>
      <w:r w:rsidRPr="009E1CC0">
        <w:rPr>
          <w:rFonts w:ascii="Verdana" w:eastAsiaTheme="minorHAnsi" w:hAnsi="Verdana" w:cstheme="minorBidi"/>
          <w:color w:val="000000" w:themeColor="text1"/>
          <w:sz w:val="20"/>
          <w:szCs w:val="20"/>
          <w:lang w:eastAsia="en-US"/>
        </w:rPr>
        <w:t xml:space="preserve">Así, </w:t>
      </w:r>
      <w:r w:rsidRPr="009F3D7E">
        <w:rPr>
          <w:rFonts w:ascii="Verdana" w:hAnsi="Verdana"/>
          <w:color w:val="000000" w:themeColor="text1"/>
          <w:sz w:val="20"/>
          <w:szCs w:val="20"/>
        </w:rPr>
        <w:t xml:space="preserve">la facturación de las operadoras de telecomunicaciones se contrajo en un 7% hasta los 32.787 millones de euros, registrando caídas en </w:t>
      </w:r>
      <w:r w:rsidRPr="009E1CC0">
        <w:rPr>
          <w:rFonts w:ascii="Verdana" w:eastAsiaTheme="minorHAnsi" w:hAnsi="Verdana" w:cstheme="minorBidi"/>
          <w:color w:val="000000" w:themeColor="text1"/>
          <w:sz w:val="20"/>
          <w:szCs w:val="20"/>
          <w:lang w:eastAsia="en-US"/>
        </w:rPr>
        <w:t xml:space="preserve">servicios minoristas, con un descenso en el segmento de comunicaciones fijas del -7,9% (9.254 millones de euros) y de comunicaciones móviles del -11,1% (10.889 millones de euros), como mayoristas (contracción del -8,3% respecto del ejercicio 2012, hasta alcanzar un valor de 5.514 millones de euros). </w:t>
      </w:r>
    </w:p>
    <w:p w:rsidR="00375559" w:rsidRDefault="00375559" w:rsidP="00375559">
      <w:pPr>
        <w:pStyle w:val="Sinespaciado"/>
      </w:pPr>
    </w:p>
    <w:p w:rsidR="00375559" w:rsidRPr="009E1CC0" w:rsidRDefault="00375559" w:rsidP="00375559">
      <w:pPr>
        <w:spacing w:after="200" w:line="276" w:lineRule="auto"/>
        <w:jc w:val="both"/>
        <w:rPr>
          <w:rFonts w:ascii="Verdana" w:eastAsiaTheme="minorHAnsi" w:hAnsi="Verdana" w:cstheme="minorBidi"/>
          <w:color w:val="000000" w:themeColor="text1"/>
          <w:sz w:val="20"/>
          <w:szCs w:val="20"/>
          <w:lang w:eastAsia="en-US"/>
        </w:rPr>
      </w:pPr>
      <w:r w:rsidRPr="009E1CC0">
        <w:rPr>
          <w:rFonts w:ascii="Verdana" w:eastAsiaTheme="minorHAnsi" w:hAnsi="Verdana" w:cstheme="minorBidi"/>
          <w:color w:val="000000" w:themeColor="text1"/>
          <w:sz w:val="20"/>
          <w:szCs w:val="20"/>
          <w:lang w:eastAsia="en-US"/>
        </w:rPr>
        <w:t>El estudio realizado por AMETIC recoge</w:t>
      </w:r>
      <w:r w:rsidRPr="009F3D7E">
        <w:rPr>
          <w:rFonts w:ascii="Verdana" w:eastAsiaTheme="minorHAnsi" w:hAnsi="Verdana" w:cstheme="minorBidi"/>
          <w:color w:val="000000" w:themeColor="text1"/>
          <w:sz w:val="20"/>
          <w:szCs w:val="20"/>
          <w:lang w:eastAsia="en-US"/>
        </w:rPr>
        <w:t>,</w:t>
      </w:r>
      <w:r w:rsidRPr="009E1CC0">
        <w:rPr>
          <w:rFonts w:ascii="Verdana" w:eastAsiaTheme="minorHAnsi" w:hAnsi="Verdana" w:cstheme="minorBidi"/>
          <w:color w:val="000000" w:themeColor="text1"/>
          <w:sz w:val="20"/>
          <w:szCs w:val="20"/>
          <w:lang w:eastAsia="en-US"/>
        </w:rPr>
        <w:t xml:space="preserve"> asimismo</w:t>
      </w:r>
      <w:r w:rsidRPr="009F3D7E">
        <w:rPr>
          <w:rFonts w:ascii="Verdana" w:eastAsiaTheme="minorHAnsi" w:hAnsi="Verdana" w:cstheme="minorBidi"/>
          <w:color w:val="000000" w:themeColor="text1"/>
          <w:sz w:val="20"/>
          <w:szCs w:val="20"/>
          <w:lang w:eastAsia="en-US"/>
        </w:rPr>
        <w:t>,</w:t>
      </w:r>
      <w:r w:rsidRPr="009E1CC0">
        <w:rPr>
          <w:rFonts w:ascii="Verdana" w:eastAsiaTheme="minorHAnsi" w:hAnsi="Verdana" w:cstheme="minorBidi"/>
          <w:color w:val="000000" w:themeColor="text1"/>
          <w:sz w:val="20"/>
          <w:szCs w:val="20"/>
          <w:lang w:eastAsia="en-US"/>
        </w:rPr>
        <w:t xml:space="preserve"> un descenso del sector de las Tecnologías de la Información de un -5,4%, situando el volumen total de facturación en el mercado español en 14.626 millones de euros. Las cifras totales del sector TI se ven lastradas por la evolución de los segmentos de hardware y servicios, que ahondan en su retroceso (experimentando contracciones del -8,3% y </w:t>
      </w:r>
      <w:r w:rsidRPr="009E1CC0">
        <w:rPr>
          <w:rFonts w:ascii="Verdana" w:eastAsiaTheme="minorHAnsi" w:hAnsi="Verdana" w:cstheme="minorBidi"/>
          <w:color w:val="000000" w:themeColor="text1"/>
          <w:sz w:val="20"/>
          <w:szCs w:val="20"/>
          <w:lang w:eastAsia="en-US"/>
        </w:rPr>
        <w:lastRenderedPageBreak/>
        <w:t>-5,5% y volúmenes de negocio de 3.976 y 7.832 millones de euros respectivamente)</w:t>
      </w:r>
      <w:r w:rsidRPr="009F3D7E">
        <w:rPr>
          <w:rFonts w:ascii="Verdana" w:eastAsiaTheme="minorHAnsi" w:hAnsi="Verdana" w:cstheme="minorBidi"/>
          <w:color w:val="000000" w:themeColor="text1"/>
          <w:sz w:val="20"/>
          <w:szCs w:val="20"/>
          <w:lang w:eastAsia="en-US"/>
        </w:rPr>
        <w:t>. M</w:t>
      </w:r>
      <w:r w:rsidRPr="009E1CC0">
        <w:rPr>
          <w:rFonts w:ascii="Verdana" w:eastAsiaTheme="minorHAnsi" w:hAnsi="Verdana" w:cstheme="minorBidi"/>
          <w:color w:val="000000" w:themeColor="text1"/>
          <w:sz w:val="20"/>
          <w:szCs w:val="20"/>
          <w:lang w:eastAsia="en-US"/>
        </w:rPr>
        <w:t xml:space="preserve">ientras que el segmento software registró una caída moderada del -1,1% (2.818 millones de euros). </w:t>
      </w:r>
    </w:p>
    <w:p w:rsidR="009E1CC0" w:rsidRPr="009E1CC0" w:rsidRDefault="009E1CC0" w:rsidP="009F3D7E">
      <w:pPr>
        <w:spacing w:after="200" w:line="276" w:lineRule="auto"/>
        <w:jc w:val="both"/>
        <w:rPr>
          <w:rFonts w:ascii="Verdana" w:eastAsiaTheme="minorHAnsi" w:hAnsi="Verdana" w:cstheme="minorBidi"/>
          <w:color w:val="000000" w:themeColor="text1"/>
          <w:sz w:val="20"/>
          <w:szCs w:val="20"/>
          <w:lang w:eastAsia="en-US"/>
        </w:rPr>
      </w:pPr>
      <w:r w:rsidRPr="009E1CC0">
        <w:rPr>
          <w:rFonts w:ascii="Verdana" w:eastAsiaTheme="minorHAnsi" w:hAnsi="Verdana" w:cstheme="minorBidi"/>
          <w:noProof/>
          <w:color w:val="000000" w:themeColor="text1"/>
          <w:sz w:val="20"/>
          <w:szCs w:val="20"/>
        </w:rPr>
        <w:drawing>
          <wp:inline distT="0" distB="0" distL="0" distR="0" wp14:anchorId="11FE7FF4" wp14:editId="6B7F683D">
            <wp:extent cx="5334070" cy="24591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5022" cy="2459620"/>
                    </a:xfrm>
                    <a:prstGeom prst="rect">
                      <a:avLst/>
                    </a:prstGeom>
                    <a:noFill/>
                  </pic:spPr>
                </pic:pic>
              </a:graphicData>
            </a:graphic>
          </wp:inline>
        </w:drawing>
      </w:r>
    </w:p>
    <w:p w:rsidR="00581242" w:rsidRPr="009E1CC0" w:rsidRDefault="00581242" w:rsidP="009F3D7E">
      <w:pPr>
        <w:jc w:val="both"/>
        <w:rPr>
          <w:rFonts w:ascii="Verdana" w:eastAsiaTheme="minorHAnsi" w:hAnsi="Verdana" w:cstheme="minorBidi"/>
          <w:color w:val="000000" w:themeColor="text1"/>
          <w:sz w:val="20"/>
          <w:szCs w:val="20"/>
          <w:lang w:eastAsia="en-US"/>
        </w:rPr>
      </w:pPr>
    </w:p>
    <w:p w:rsidR="009E1CC0" w:rsidRPr="009E1CC0" w:rsidRDefault="009E1CC0" w:rsidP="009F3D7E">
      <w:pPr>
        <w:spacing w:after="200" w:line="276" w:lineRule="auto"/>
        <w:jc w:val="both"/>
        <w:rPr>
          <w:rFonts w:ascii="Verdana" w:eastAsiaTheme="minorHAnsi" w:hAnsi="Verdana" w:cstheme="minorBidi"/>
          <w:color w:val="000000" w:themeColor="text1"/>
          <w:sz w:val="20"/>
          <w:szCs w:val="20"/>
          <w:lang w:eastAsia="en-US"/>
        </w:rPr>
      </w:pPr>
      <w:r w:rsidRPr="009E1CC0">
        <w:rPr>
          <w:rFonts w:ascii="Verdana" w:eastAsiaTheme="minorHAnsi" w:hAnsi="Verdana" w:cstheme="minorBidi"/>
          <w:color w:val="000000" w:themeColor="text1"/>
          <w:sz w:val="20"/>
          <w:szCs w:val="20"/>
          <w:lang w:eastAsia="en-US"/>
        </w:rPr>
        <w:t>Los ingresos obtenidos por los operadores de radio y televisión (tanto de carácter comercial como por subvenciones percibidas) retrocedieron un -3,9% y se situaron en 3.613 millones de euros, mientras que el resto de agentes activos en el heterogéneo sector de los contenidos registraron de forma agregada un ligero ascenso en su facturación del +0,2%, alcanzando 14.605 millones de euros.</w:t>
      </w:r>
    </w:p>
    <w:p w:rsidR="009E1CC0" w:rsidRDefault="009E1CC0" w:rsidP="009F3D7E">
      <w:pPr>
        <w:spacing w:after="200" w:line="276" w:lineRule="auto"/>
        <w:jc w:val="both"/>
        <w:rPr>
          <w:rFonts w:ascii="Verdana" w:eastAsiaTheme="minorHAnsi" w:hAnsi="Verdana" w:cstheme="minorBidi"/>
          <w:color w:val="000000" w:themeColor="text1"/>
          <w:sz w:val="20"/>
          <w:szCs w:val="20"/>
          <w:lang w:eastAsia="en-US"/>
        </w:rPr>
      </w:pPr>
      <w:r w:rsidRPr="009E1CC0">
        <w:rPr>
          <w:rFonts w:ascii="Verdana" w:eastAsiaTheme="minorHAnsi" w:hAnsi="Verdana" w:cstheme="minorBidi"/>
          <w:color w:val="000000" w:themeColor="text1"/>
          <w:sz w:val="20"/>
          <w:szCs w:val="20"/>
          <w:lang w:eastAsia="en-US"/>
        </w:rPr>
        <w:t>Por último, los segmentos industriales vinculados a la electrónica han recortado sustancialmente la profunda caída experimentada en 2012. A pesar de ello, las cifras manejadas por AMETIC para el pasado curso reflejan aún un severo descenso de</w:t>
      </w:r>
      <w:r w:rsidR="00581242" w:rsidRPr="009F3D7E">
        <w:rPr>
          <w:rFonts w:ascii="Verdana" w:eastAsiaTheme="minorHAnsi" w:hAnsi="Verdana" w:cstheme="minorBidi"/>
          <w:color w:val="000000" w:themeColor="text1"/>
          <w:sz w:val="20"/>
          <w:szCs w:val="20"/>
          <w:lang w:eastAsia="en-US"/>
        </w:rPr>
        <w:t>l</w:t>
      </w:r>
      <w:r w:rsidRPr="009E1CC0">
        <w:rPr>
          <w:rFonts w:ascii="Verdana" w:eastAsiaTheme="minorHAnsi" w:hAnsi="Verdana" w:cstheme="minorBidi"/>
          <w:color w:val="000000" w:themeColor="text1"/>
          <w:sz w:val="20"/>
          <w:szCs w:val="20"/>
          <w:lang w:eastAsia="en-US"/>
        </w:rPr>
        <w:t xml:space="preserve"> mercado de electrónica de consumo (-14,1%), cifrando su volumen en 1.937 millones de euros; por su parte, el sector de industria electrónica (que incluye equipamientos de telecomunicaciones, componentes y electrónica profesional) registró una facturación de 13.981 millones de euros, un -1,4% menos que la cifra manejada para el ejercicio 2012.</w:t>
      </w:r>
    </w:p>
    <w:p w:rsidR="00DA6EC4" w:rsidRPr="00DA6EC4" w:rsidRDefault="00DA6EC4" w:rsidP="00DA6EC4">
      <w:pPr>
        <w:pStyle w:val="Sinespaciado"/>
        <w:rPr>
          <w:rFonts w:ascii="Verdana" w:hAnsi="Verdana"/>
          <w:b/>
          <w:sz w:val="20"/>
          <w:szCs w:val="20"/>
        </w:rPr>
      </w:pPr>
      <w:r w:rsidRPr="00DA6EC4">
        <w:rPr>
          <w:rFonts w:ascii="Verdana" w:hAnsi="Verdana"/>
          <w:b/>
          <w:sz w:val="20"/>
          <w:szCs w:val="20"/>
        </w:rPr>
        <w:t>Confianza en el futuro</w:t>
      </w:r>
    </w:p>
    <w:p w:rsidR="00375559" w:rsidRPr="00B815D8" w:rsidRDefault="00375559" w:rsidP="00375559">
      <w:pPr>
        <w:pStyle w:val="Sinespaciado"/>
        <w:jc w:val="both"/>
        <w:rPr>
          <w:rFonts w:ascii="Verdana" w:hAnsi="Verdana"/>
          <w:color w:val="404040" w:themeColor="text1" w:themeTint="BF"/>
          <w:sz w:val="20"/>
          <w:szCs w:val="20"/>
        </w:rPr>
      </w:pPr>
      <w:r w:rsidRPr="00B815D8">
        <w:rPr>
          <w:rFonts w:ascii="Verdana" w:hAnsi="Verdana"/>
          <w:color w:val="404040" w:themeColor="text1" w:themeTint="BF"/>
          <w:sz w:val="20"/>
          <w:szCs w:val="20"/>
        </w:rPr>
        <w:t xml:space="preserve">Como continuación de los datos que arroja el hipersector TIC en 2013, </w:t>
      </w:r>
      <w:r>
        <w:rPr>
          <w:rFonts w:ascii="Verdana" w:hAnsi="Verdana"/>
          <w:color w:val="404040" w:themeColor="text1" w:themeTint="BF"/>
          <w:sz w:val="20"/>
          <w:szCs w:val="20"/>
        </w:rPr>
        <w:t>l</w:t>
      </w:r>
      <w:r w:rsidRPr="00B815D8">
        <w:rPr>
          <w:rFonts w:ascii="Verdana" w:hAnsi="Verdana"/>
          <w:color w:val="404040" w:themeColor="text1" w:themeTint="BF"/>
          <w:sz w:val="20"/>
          <w:szCs w:val="20"/>
        </w:rPr>
        <w:t>a inclinación negativa continúa en 2014, con una ligera deceleración en el primer semestre del ejercicio</w:t>
      </w:r>
      <w:r>
        <w:rPr>
          <w:rFonts w:ascii="Verdana" w:hAnsi="Verdana"/>
          <w:color w:val="404040" w:themeColor="text1" w:themeTint="BF"/>
          <w:sz w:val="20"/>
          <w:szCs w:val="20"/>
        </w:rPr>
        <w:t xml:space="preserve"> del </w:t>
      </w:r>
      <w:r w:rsidRPr="00B815D8">
        <w:rPr>
          <w:rFonts w:ascii="Verdana" w:hAnsi="Verdana"/>
          <w:color w:val="404040" w:themeColor="text1" w:themeTint="BF"/>
          <w:sz w:val="20"/>
          <w:szCs w:val="20"/>
        </w:rPr>
        <w:t>-3,3</w:t>
      </w:r>
      <w:r>
        <w:rPr>
          <w:rFonts w:ascii="Verdana" w:hAnsi="Verdana"/>
          <w:color w:val="404040" w:themeColor="text1" w:themeTint="BF"/>
          <w:sz w:val="20"/>
          <w:szCs w:val="20"/>
        </w:rPr>
        <w:t>%</w:t>
      </w:r>
      <w:r w:rsidRPr="00B815D8">
        <w:rPr>
          <w:rFonts w:ascii="Verdana" w:hAnsi="Verdana"/>
          <w:color w:val="404040" w:themeColor="text1" w:themeTint="BF"/>
          <w:sz w:val="20"/>
          <w:szCs w:val="20"/>
        </w:rPr>
        <w:t xml:space="preserve">. Pese a esta reiterada contracción, la patronal tecnológica tiene confianza en el futuro ya que la tardía entrada del sector en la crisis </w:t>
      </w:r>
      <w:r>
        <w:rPr>
          <w:rFonts w:ascii="Verdana" w:hAnsi="Verdana"/>
          <w:color w:val="404040" w:themeColor="text1" w:themeTint="BF"/>
          <w:sz w:val="20"/>
          <w:szCs w:val="20"/>
        </w:rPr>
        <w:t xml:space="preserve">comporta </w:t>
      </w:r>
      <w:r w:rsidRPr="00B815D8">
        <w:rPr>
          <w:rFonts w:ascii="Verdana" w:hAnsi="Verdana"/>
          <w:color w:val="404040" w:themeColor="text1" w:themeTint="BF"/>
          <w:sz w:val="20"/>
          <w:szCs w:val="20"/>
        </w:rPr>
        <w:t xml:space="preserve">un retraso en la recuperación que terminará llegando. </w:t>
      </w:r>
    </w:p>
    <w:p w:rsidR="00375559" w:rsidRPr="00B815D8" w:rsidRDefault="00375559" w:rsidP="00375559">
      <w:pPr>
        <w:pStyle w:val="Sinespaciado"/>
        <w:jc w:val="both"/>
        <w:rPr>
          <w:rFonts w:ascii="Verdana" w:hAnsi="Verdana"/>
          <w:color w:val="404040" w:themeColor="text1" w:themeTint="BF"/>
          <w:sz w:val="20"/>
          <w:szCs w:val="20"/>
        </w:rPr>
      </w:pPr>
    </w:p>
    <w:p w:rsidR="00375559" w:rsidRPr="00B815D8" w:rsidRDefault="00375559" w:rsidP="00375559">
      <w:pPr>
        <w:pStyle w:val="Sinespaciado"/>
        <w:jc w:val="both"/>
        <w:rPr>
          <w:rFonts w:ascii="Verdana" w:hAnsi="Verdana"/>
          <w:color w:val="404040" w:themeColor="text1" w:themeTint="BF"/>
          <w:sz w:val="20"/>
          <w:szCs w:val="20"/>
        </w:rPr>
      </w:pPr>
      <w:r w:rsidRPr="00B815D8">
        <w:rPr>
          <w:rFonts w:ascii="Verdana" w:hAnsi="Verdana"/>
          <w:color w:val="404040" w:themeColor="text1" w:themeTint="BF"/>
          <w:sz w:val="20"/>
          <w:szCs w:val="20"/>
        </w:rPr>
        <w:t>No obstante, AMETIC tiene una visión mucho más amplia que traspasa los límites del</w:t>
      </w:r>
      <w:r>
        <w:rPr>
          <w:rFonts w:ascii="Verdana" w:hAnsi="Verdana"/>
          <w:color w:val="404040" w:themeColor="text1" w:themeTint="BF"/>
          <w:sz w:val="20"/>
          <w:szCs w:val="20"/>
        </w:rPr>
        <w:t xml:space="preserve"> propio</w:t>
      </w:r>
      <w:r w:rsidRPr="00B815D8">
        <w:rPr>
          <w:rFonts w:ascii="Verdana" w:hAnsi="Verdana"/>
          <w:color w:val="404040" w:themeColor="text1" w:themeTint="BF"/>
          <w:sz w:val="20"/>
          <w:szCs w:val="20"/>
        </w:rPr>
        <w:t xml:space="preserve"> sector</w:t>
      </w:r>
      <w:r w:rsidR="00DA6EC4">
        <w:rPr>
          <w:rFonts w:ascii="Verdana" w:hAnsi="Verdana"/>
          <w:color w:val="404040" w:themeColor="text1" w:themeTint="BF"/>
          <w:sz w:val="20"/>
          <w:szCs w:val="20"/>
        </w:rPr>
        <w:t>. A</w:t>
      </w:r>
      <w:r w:rsidRPr="00B815D8">
        <w:rPr>
          <w:rFonts w:ascii="Verdana" w:hAnsi="Verdana"/>
          <w:color w:val="404040" w:themeColor="text1" w:themeTint="BF"/>
          <w:sz w:val="20"/>
          <w:szCs w:val="20"/>
        </w:rPr>
        <w:t>fecta al proyecto p</w:t>
      </w:r>
      <w:r>
        <w:rPr>
          <w:rFonts w:ascii="Verdana" w:hAnsi="Verdana"/>
          <w:color w:val="404040" w:themeColor="text1" w:themeTint="BF"/>
          <w:sz w:val="20"/>
          <w:szCs w:val="20"/>
        </w:rPr>
        <w:t>aís que necesitamos para adheri</w:t>
      </w:r>
      <w:r w:rsidR="00B231C0">
        <w:rPr>
          <w:rFonts w:ascii="Verdana" w:hAnsi="Verdana"/>
          <w:color w:val="404040" w:themeColor="text1" w:themeTint="BF"/>
          <w:sz w:val="20"/>
          <w:szCs w:val="20"/>
        </w:rPr>
        <w:t>rn</w:t>
      </w:r>
      <w:r w:rsidRPr="00B815D8">
        <w:rPr>
          <w:rFonts w:ascii="Verdana" w:hAnsi="Verdana"/>
          <w:color w:val="404040" w:themeColor="text1" w:themeTint="BF"/>
          <w:sz w:val="20"/>
          <w:szCs w:val="20"/>
        </w:rPr>
        <w:t xml:space="preserve">os a la revolución digital que está en marcha y que está empujando a salir de la crisis a </w:t>
      </w:r>
      <w:r w:rsidRPr="00B815D8">
        <w:rPr>
          <w:rFonts w:ascii="Verdana" w:hAnsi="Verdana"/>
          <w:color w:val="404040" w:themeColor="text1" w:themeTint="BF"/>
          <w:sz w:val="20"/>
          <w:szCs w:val="20"/>
        </w:rPr>
        <w:lastRenderedPageBreak/>
        <w:t>aquellas economías que la han abrazado. En España</w:t>
      </w:r>
      <w:r>
        <w:rPr>
          <w:rFonts w:ascii="Verdana" w:hAnsi="Verdana"/>
          <w:color w:val="404040" w:themeColor="text1" w:themeTint="BF"/>
          <w:sz w:val="20"/>
          <w:szCs w:val="20"/>
        </w:rPr>
        <w:t>,</w:t>
      </w:r>
      <w:r w:rsidRPr="00B815D8">
        <w:rPr>
          <w:rFonts w:ascii="Verdana" w:hAnsi="Verdana"/>
          <w:color w:val="404040" w:themeColor="text1" w:themeTint="BF"/>
          <w:sz w:val="20"/>
          <w:szCs w:val="20"/>
        </w:rPr>
        <w:t xml:space="preserve"> tenemos la obligación de no perder este tren para lograr una recuperación de la economía gracias a la transformación digital de la misma que ofrece ventajas en distintas direcciones. </w:t>
      </w:r>
      <w:r>
        <w:rPr>
          <w:rFonts w:ascii="Verdana" w:hAnsi="Verdana"/>
          <w:color w:val="404040" w:themeColor="text1" w:themeTint="BF"/>
          <w:sz w:val="20"/>
          <w:szCs w:val="20"/>
        </w:rPr>
        <w:t>P</w:t>
      </w:r>
      <w:r w:rsidRPr="00B815D8">
        <w:rPr>
          <w:rFonts w:ascii="Verdana" w:hAnsi="Verdana"/>
          <w:color w:val="404040" w:themeColor="text1" w:themeTint="BF"/>
          <w:sz w:val="20"/>
          <w:szCs w:val="20"/>
        </w:rPr>
        <w:t>ara la sociedad, prosperidad, bienestar</w:t>
      </w:r>
      <w:r>
        <w:rPr>
          <w:rFonts w:ascii="Verdana" w:hAnsi="Verdana"/>
          <w:color w:val="404040" w:themeColor="text1" w:themeTint="BF"/>
          <w:sz w:val="20"/>
          <w:szCs w:val="20"/>
        </w:rPr>
        <w:t xml:space="preserve"> y </w:t>
      </w:r>
      <w:r w:rsidRPr="00B815D8">
        <w:rPr>
          <w:rFonts w:ascii="Verdana" w:hAnsi="Verdana"/>
          <w:color w:val="404040" w:themeColor="text1" w:themeTint="BF"/>
          <w:sz w:val="20"/>
          <w:szCs w:val="20"/>
        </w:rPr>
        <w:t>sostenibilidad; para los sectores productivos, competitividad, crecimiento y empleo; y para la las Administraciones Públicas, eficiencia y nuevos servicios de mayor alcance.</w:t>
      </w:r>
    </w:p>
    <w:p w:rsidR="00375559" w:rsidRPr="00B815D8" w:rsidRDefault="00375559" w:rsidP="00375559">
      <w:pPr>
        <w:pStyle w:val="Prrafodelista"/>
        <w:jc w:val="both"/>
        <w:rPr>
          <w:rFonts w:ascii="Verdana" w:hAnsi="Verdana"/>
          <w:color w:val="404040" w:themeColor="text1" w:themeTint="BF"/>
          <w:sz w:val="20"/>
          <w:szCs w:val="20"/>
        </w:rPr>
      </w:pPr>
    </w:p>
    <w:p w:rsidR="00375559" w:rsidRPr="00B815D8" w:rsidRDefault="00375559" w:rsidP="00375559">
      <w:pPr>
        <w:spacing w:after="120"/>
        <w:jc w:val="both"/>
        <w:rPr>
          <w:rFonts w:ascii="Verdana" w:hAnsi="Verdana"/>
          <w:color w:val="404040" w:themeColor="text1" w:themeTint="BF"/>
          <w:sz w:val="20"/>
          <w:szCs w:val="20"/>
        </w:rPr>
      </w:pPr>
      <w:r w:rsidRPr="00B815D8">
        <w:rPr>
          <w:rFonts w:ascii="Verdana" w:hAnsi="Verdana"/>
          <w:color w:val="404040" w:themeColor="text1" w:themeTint="BF"/>
          <w:sz w:val="20"/>
          <w:szCs w:val="20"/>
        </w:rPr>
        <w:t>AMETIC señala que el impulso que la transformación digital necesita en nuestro país, pasa</w:t>
      </w:r>
      <w:r>
        <w:rPr>
          <w:rFonts w:ascii="Verdana" w:hAnsi="Verdana"/>
          <w:color w:val="404040" w:themeColor="text1" w:themeTint="BF"/>
          <w:sz w:val="20"/>
          <w:szCs w:val="20"/>
        </w:rPr>
        <w:t>, entre otros estí</w:t>
      </w:r>
      <w:r w:rsidRPr="00B815D8">
        <w:rPr>
          <w:rFonts w:ascii="Verdana" w:hAnsi="Verdana"/>
          <w:color w:val="404040" w:themeColor="text1" w:themeTint="BF"/>
          <w:sz w:val="20"/>
          <w:szCs w:val="20"/>
        </w:rPr>
        <w:t xml:space="preserve">mulos, por </w:t>
      </w:r>
      <w:r>
        <w:rPr>
          <w:rFonts w:ascii="Verdana" w:hAnsi="Verdana"/>
          <w:color w:val="404040" w:themeColor="text1" w:themeTint="BF"/>
          <w:sz w:val="20"/>
          <w:szCs w:val="20"/>
        </w:rPr>
        <w:t>r</w:t>
      </w:r>
      <w:r w:rsidRPr="00B815D8">
        <w:rPr>
          <w:rFonts w:ascii="Verdana" w:hAnsi="Verdana"/>
          <w:color w:val="404040" w:themeColor="text1" w:themeTint="BF"/>
          <w:sz w:val="20"/>
          <w:szCs w:val="20"/>
        </w:rPr>
        <w:t xml:space="preserve">eequilibrar la cadena de valor del sector, </w:t>
      </w:r>
      <w:r>
        <w:rPr>
          <w:rFonts w:ascii="Verdana" w:hAnsi="Verdana"/>
          <w:color w:val="404040" w:themeColor="text1" w:themeTint="BF"/>
          <w:sz w:val="20"/>
          <w:szCs w:val="20"/>
        </w:rPr>
        <w:t>i</w:t>
      </w:r>
      <w:r w:rsidRPr="00B815D8">
        <w:rPr>
          <w:rFonts w:ascii="Verdana" w:hAnsi="Verdana"/>
          <w:color w:val="404040" w:themeColor="text1" w:themeTint="BF"/>
          <w:sz w:val="20"/>
          <w:szCs w:val="20"/>
        </w:rPr>
        <w:t xml:space="preserve">ncrementar las inversiones públicas y privadas en I+D+i y </w:t>
      </w:r>
      <w:r>
        <w:rPr>
          <w:rFonts w:ascii="Verdana" w:hAnsi="Verdana"/>
          <w:color w:val="404040" w:themeColor="text1" w:themeTint="BF"/>
          <w:sz w:val="20"/>
          <w:szCs w:val="20"/>
        </w:rPr>
        <w:t>r</w:t>
      </w:r>
      <w:r w:rsidRPr="00B815D8">
        <w:rPr>
          <w:rFonts w:ascii="Verdana" w:hAnsi="Verdana"/>
          <w:color w:val="404040" w:themeColor="text1" w:themeTint="BF"/>
          <w:sz w:val="20"/>
          <w:szCs w:val="20"/>
        </w:rPr>
        <w:t>esolver la inadecuación de la formación de los profesionales digitales. Así como facilitar la financiación TIC, tanto a las empresas del sector como a los sectores productivos que decidan emprender e</w:t>
      </w:r>
      <w:r>
        <w:rPr>
          <w:rFonts w:ascii="Verdana" w:hAnsi="Verdana"/>
          <w:color w:val="404040" w:themeColor="text1" w:themeTint="BF"/>
          <w:sz w:val="20"/>
          <w:szCs w:val="20"/>
        </w:rPr>
        <w:t>l</w:t>
      </w:r>
      <w:r w:rsidRPr="00B815D8">
        <w:rPr>
          <w:rFonts w:ascii="Verdana" w:hAnsi="Verdana"/>
          <w:color w:val="404040" w:themeColor="text1" w:themeTint="BF"/>
          <w:sz w:val="20"/>
          <w:szCs w:val="20"/>
        </w:rPr>
        <w:t xml:space="preserve"> camino hacia lo digital.</w:t>
      </w:r>
    </w:p>
    <w:p w:rsidR="00375559" w:rsidRPr="00B815D8" w:rsidRDefault="00375559" w:rsidP="00375559">
      <w:pPr>
        <w:jc w:val="both"/>
        <w:rPr>
          <w:rFonts w:ascii="Verdana" w:hAnsi="Verdana"/>
          <w:color w:val="404040" w:themeColor="text1" w:themeTint="BF"/>
          <w:sz w:val="20"/>
          <w:szCs w:val="20"/>
        </w:rPr>
      </w:pPr>
      <w:r w:rsidRPr="00B815D8">
        <w:rPr>
          <w:rFonts w:ascii="Verdana" w:hAnsi="Verdana"/>
          <w:color w:val="404040" w:themeColor="text1" w:themeTint="BF"/>
          <w:sz w:val="20"/>
          <w:szCs w:val="20"/>
        </w:rPr>
        <w:t>C</w:t>
      </w:r>
      <w:r>
        <w:rPr>
          <w:rFonts w:ascii="Verdana" w:hAnsi="Verdana"/>
          <w:color w:val="404040" w:themeColor="text1" w:themeTint="BF"/>
          <w:sz w:val="20"/>
          <w:szCs w:val="20"/>
        </w:rPr>
        <w:t>onseguir que el G</w:t>
      </w:r>
      <w:r w:rsidRPr="00B815D8">
        <w:rPr>
          <w:rFonts w:ascii="Verdana" w:hAnsi="Verdana"/>
          <w:color w:val="404040" w:themeColor="text1" w:themeTint="BF"/>
          <w:sz w:val="20"/>
          <w:szCs w:val="20"/>
        </w:rPr>
        <w:t xml:space="preserve">obierno tenga una estrategia digital clara y firme, </w:t>
      </w:r>
      <w:r>
        <w:rPr>
          <w:rFonts w:ascii="Verdana" w:hAnsi="Verdana"/>
          <w:color w:val="404040" w:themeColor="text1" w:themeTint="BF"/>
          <w:sz w:val="20"/>
          <w:szCs w:val="20"/>
        </w:rPr>
        <w:t>impulsando</w:t>
      </w:r>
      <w:r w:rsidRPr="00B815D8">
        <w:rPr>
          <w:rFonts w:ascii="Verdana" w:hAnsi="Verdana"/>
          <w:color w:val="404040" w:themeColor="text1" w:themeTint="BF"/>
          <w:sz w:val="20"/>
          <w:szCs w:val="20"/>
        </w:rPr>
        <w:t xml:space="preserve"> decididamente la Agenda Digital para España, que la Administración Pública reduzca sus plazos de decisión y apueste por una digitalización de ella misma y que el marco institu</w:t>
      </w:r>
      <w:r>
        <w:rPr>
          <w:rFonts w:ascii="Verdana" w:hAnsi="Verdana"/>
          <w:color w:val="404040" w:themeColor="text1" w:themeTint="BF"/>
          <w:sz w:val="20"/>
          <w:szCs w:val="20"/>
        </w:rPr>
        <w:t>cional no frene sino que propicie</w:t>
      </w:r>
      <w:r w:rsidRPr="00B815D8">
        <w:rPr>
          <w:rFonts w:ascii="Verdana" w:hAnsi="Verdana"/>
          <w:color w:val="404040" w:themeColor="text1" w:themeTint="BF"/>
          <w:sz w:val="20"/>
          <w:szCs w:val="20"/>
        </w:rPr>
        <w:t xml:space="preserve"> un círculo virtuoso de innovación y transformación digital son</w:t>
      </w:r>
      <w:r>
        <w:rPr>
          <w:rFonts w:ascii="Verdana" w:hAnsi="Verdana"/>
          <w:color w:val="404040" w:themeColor="text1" w:themeTint="BF"/>
          <w:sz w:val="20"/>
          <w:szCs w:val="20"/>
        </w:rPr>
        <w:t xml:space="preserve">, para AMETIC, otros </w:t>
      </w:r>
      <w:r w:rsidRPr="00B815D8">
        <w:rPr>
          <w:rFonts w:ascii="Verdana" w:hAnsi="Verdana"/>
          <w:color w:val="404040" w:themeColor="text1" w:themeTint="BF"/>
          <w:sz w:val="20"/>
          <w:szCs w:val="20"/>
        </w:rPr>
        <w:t>de</w:t>
      </w:r>
      <w:r>
        <w:rPr>
          <w:rFonts w:ascii="Verdana" w:hAnsi="Verdana"/>
          <w:color w:val="404040" w:themeColor="text1" w:themeTint="BF"/>
          <w:sz w:val="20"/>
          <w:szCs w:val="20"/>
        </w:rPr>
        <w:t xml:space="preserve"> los requerimientos necesarios. </w:t>
      </w:r>
      <w:r w:rsidRPr="00B815D8">
        <w:rPr>
          <w:rFonts w:ascii="Verdana" w:hAnsi="Verdana"/>
          <w:color w:val="404040" w:themeColor="text1" w:themeTint="BF"/>
          <w:sz w:val="20"/>
          <w:szCs w:val="20"/>
        </w:rPr>
        <w:t xml:space="preserve"> </w:t>
      </w:r>
    </w:p>
    <w:p w:rsidR="00375559" w:rsidRPr="00B815D8" w:rsidRDefault="00375559" w:rsidP="00375559">
      <w:pPr>
        <w:pStyle w:val="Prrafodelista"/>
        <w:jc w:val="both"/>
        <w:rPr>
          <w:rFonts w:ascii="Verdana" w:hAnsi="Verdana"/>
          <w:color w:val="404040" w:themeColor="text1" w:themeTint="BF"/>
          <w:sz w:val="20"/>
          <w:szCs w:val="20"/>
        </w:rPr>
      </w:pPr>
    </w:p>
    <w:p w:rsidR="00375559" w:rsidRPr="00B815D8" w:rsidRDefault="00375559" w:rsidP="00375559">
      <w:pPr>
        <w:jc w:val="both"/>
        <w:rPr>
          <w:rFonts w:ascii="Verdana" w:hAnsi="Verdana"/>
          <w:color w:val="404040" w:themeColor="text1" w:themeTint="BF"/>
          <w:sz w:val="20"/>
          <w:szCs w:val="20"/>
        </w:rPr>
      </w:pPr>
      <w:r>
        <w:rPr>
          <w:rFonts w:ascii="Verdana" w:hAnsi="Verdana"/>
          <w:color w:val="404040" w:themeColor="text1" w:themeTint="BF"/>
          <w:sz w:val="20"/>
          <w:szCs w:val="20"/>
        </w:rPr>
        <w:t>Finalmente, la patronal tecnológica subraya la necesidad de que Es</w:t>
      </w:r>
      <w:r w:rsidRPr="00B815D8">
        <w:rPr>
          <w:rFonts w:ascii="Verdana" w:hAnsi="Verdana"/>
          <w:color w:val="404040" w:themeColor="text1" w:themeTint="BF"/>
          <w:sz w:val="20"/>
          <w:szCs w:val="20"/>
        </w:rPr>
        <w:t>paña ap</w:t>
      </w:r>
      <w:r>
        <w:rPr>
          <w:rFonts w:ascii="Verdana" w:hAnsi="Verdana"/>
          <w:color w:val="404040" w:themeColor="text1" w:themeTint="BF"/>
          <w:sz w:val="20"/>
          <w:szCs w:val="20"/>
        </w:rPr>
        <w:t>ueste</w:t>
      </w:r>
      <w:r w:rsidRPr="00B815D8">
        <w:rPr>
          <w:rFonts w:ascii="Verdana" w:hAnsi="Verdana"/>
          <w:color w:val="404040" w:themeColor="text1" w:themeTint="BF"/>
          <w:sz w:val="20"/>
          <w:szCs w:val="20"/>
        </w:rPr>
        <w:t xml:space="preserve"> por la reindustrialización TIC, para lo cual </w:t>
      </w:r>
      <w:r>
        <w:rPr>
          <w:rFonts w:ascii="Verdana" w:hAnsi="Verdana"/>
          <w:color w:val="404040" w:themeColor="text1" w:themeTint="BF"/>
          <w:sz w:val="20"/>
          <w:szCs w:val="20"/>
        </w:rPr>
        <w:t>resulta imprescindible</w:t>
      </w:r>
      <w:r w:rsidRPr="00B815D8">
        <w:rPr>
          <w:rFonts w:ascii="Verdana" w:hAnsi="Verdana"/>
          <w:color w:val="404040" w:themeColor="text1" w:themeTint="BF"/>
          <w:sz w:val="20"/>
          <w:szCs w:val="20"/>
        </w:rPr>
        <w:t xml:space="preserve"> impulsar el despliegue de</w:t>
      </w:r>
      <w:r>
        <w:rPr>
          <w:rFonts w:ascii="Verdana" w:hAnsi="Verdana"/>
          <w:color w:val="404040" w:themeColor="text1" w:themeTint="BF"/>
          <w:sz w:val="20"/>
          <w:szCs w:val="20"/>
        </w:rPr>
        <w:t xml:space="preserve"> i</w:t>
      </w:r>
      <w:r w:rsidRPr="00B815D8">
        <w:rPr>
          <w:rFonts w:ascii="Verdana" w:hAnsi="Verdana"/>
          <w:color w:val="404040" w:themeColor="text1" w:themeTint="BF"/>
          <w:sz w:val="20"/>
          <w:szCs w:val="20"/>
        </w:rPr>
        <w:t>nfoestructuras con foco en el fomento de la inversión, a lo que ayudaría la reducción de la presión fiscal</w:t>
      </w:r>
      <w:r>
        <w:rPr>
          <w:rFonts w:ascii="Verdana" w:hAnsi="Verdana"/>
          <w:color w:val="404040" w:themeColor="text1" w:themeTint="BF"/>
          <w:sz w:val="20"/>
          <w:szCs w:val="20"/>
        </w:rPr>
        <w:t xml:space="preserve">, así como poder actuar en un marco de </w:t>
      </w:r>
      <w:r w:rsidRPr="00B815D8">
        <w:rPr>
          <w:rFonts w:ascii="Verdana" w:hAnsi="Verdana"/>
          <w:color w:val="404040" w:themeColor="text1" w:themeTint="BF"/>
          <w:sz w:val="20"/>
          <w:szCs w:val="20"/>
        </w:rPr>
        <w:t xml:space="preserve"> plena certidumbre jurídica</w:t>
      </w:r>
      <w:r>
        <w:rPr>
          <w:rFonts w:ascii="Verdana" w:hAnsi="Verdana"/>
          <w:color w:val="404040" w:themeColor="text1" w:themeTint="BF"/>
          <w:sz w:val="20"/>
          <w:szCs w:val="20"/>
        </w:rPr>
        <w:t>.</w:t>
      </w:r>
    </w:p>
    <w:p w:rsidR="00375559" w:rsidRDefault="00375559" w:rsidP="00375559">
      <w:pPr>
        <w:pStyle w:val="Prrafodelista"/>
        <w:ind w:left="1392"/>
        <w:jc w:val="both"/>
        <w:rPr>
          <w:rFonts w:ascii="Verdana" w:hAnsi="Verdana"/>
          <w:color w:val="404040" w:themeColor="text1" w:themeTint="BF"/>
          <w:sz w:val="20"/>
          <w:szCs w:val="20"/>
        </w:rPr>
      </w:pPr>
    </w:p>
    <w:p w:rsidR="001966E1" w:rsidRPr="00B815D8" w:rsidRDefault="001966E1" w:rsidP="00375559">
      <w:pPr>
        <w:pStyle w:val="Prrafodelista"/>
        <w:ind w:left="1392"/>
        <w:jc w:val="both"/>
        <w:rPr>
          <w:rFonts w:ascii="Verdana" w:hAnsi="Verdana"/>
          <w:color w:val="404040" w:themeColor="text1" w:themeTint="BF"/>
          <w:sz w:val="20"/>
          <w:szCs w:val="20"/>
        </w:rPr>
      </w:pPr>
    </w:p>
    <w:p w:rsidR="000D2BC8" w:rsidRPr="006374AC" w:rsidRDefault="007F39A6" w:rsidP="000D2BC8">
      <w:pPr>
        <w:pStyle w:val="Sinespaciado"/>
        <w:jc w:val="both"/>
        <w:rPr>
          <w:rFonts w:ascii="Verdana" w:hAnsi="Verdana"/>
          <w:b/>
          <w:bCs/>
          <w:color w:val="000000"/>
          <w:sz w:val="18"/>
          <w:szCs w:val="18"/>
        </w:rPr>
      </w:pPr>
      <w:r>
        <w:rPr>
          <w:rFonts w:ascii="Verdana" w:hAnsi="Verdana"/>
          <w:b/>
          <w:bCs/>
          <w:color w:val="000000"/>
          <w:sz w:val="18"/>
          <w:szCs w:val="18"/>
        </w:rPr>
        <w:t>Sobre AMETIC</w:t>
      </w:r>
    </w:p>
    <w:p w:rsidR="000D2BC8" w:rsidRPr="006374AC" w:rsidRDefault="000D2BC8" w:rsidP="000D2BC8">
      <w:pPr>
        <w:pStyle w:val="Sinespaciado"/>
        <w:jc w:val="both"/>
        <w:rPr>
          <w:rFonts w:ascii="Verdana" w:hAnsi="Verdana"/>
          <w:color w:val="000000"/>
          <w:sz w:val="18"/>
          <w:szCs w:val="18"/>
        </w:rPr>
      </w:pPr>
      <w:r w:rsidRPr="006374AC">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6374AC">
        <w:rPr>
          <w:rStyle w:val="apple-converted-space"/>
          <w:rFonts w:ascii="Verdana" w:hAnsi="Verdana"/>
          <w:color w:val="000000"/>
          <w:sz w:val="18"/>
          <w:szCs w:val="18"/>
          <w:shd w:val="clear" w:color="auto" w:fill="FFFFFF"/>
        </w:rPr>
        <w:t xml:space="preserve"> </w:t>
      </w:r>
      <w:r w:rsidRPr="006374AC">
        <w:rPr>
          <w:rFonts w:ascii="Verdana" w:hAnsi="Verdana"/>
          <w:color w:val="000000"/>
          <w:sz w:val="18"/>
          <w:szCs w:val="18"/>
          <w:shd w:val="clear" w:color="auto" w:fill="FFFFFF"/>
        </w:rPr>
        <w:t xml:space="preserve">Digitales, </w:t>
      </w:r>
      <w:r w:rsidRPr="006374AC">
        <w:rPr>
          <w:rFonts w:ascii="Verdana" w:hAnsi="Verdana"/>
          <w:color w:val="000000"/>
          <w:sz w:val="18"/>
          <w:szCs w:val="18"/>
        </w:rPr>
        <w:t xml:space="preserve">lidera, en el ámbito nacional, los intereses empresariales de un hipersector tan diverso como dinámico, el más </w:t>
      </w:r>
      <w:r w:rsidR="007E5397">
        <w:rPr>
          <w:rFonts w:ascii="Verdana" w:hAnsi="Verdana"/>
          <w:color w:val="000000"/>
          <w:sz w:val="18"/>
          <w:szCs w:val="18"/>
        </w:rPr>
        <w:t>innovador -concentra más de un 3</w:t>
      </w:r>
      <w:r w:rsidRPr="006374AC">
        <w:rPr>
          <w:rFonts w:ascii="Verdana" w:hAnsi="Verdana"/>
          <w:color w:val="000000"/>
          <w:sz w:val="18"/>
          <w:szCs w:val="18"/>
        </w:rPr>
        <w:t>0% de la inversión privada en I+D-</w:t>
      </w:r>
      <w:r w:rsidR="00B84610">
        <w:rPr>
          <w:rFonts w:ascii="Verdana" w:hAnsi="Verdana"/>
          <w:color w:val="000000"/>
          <w:sz w:val="18"/>
          <w:szCs w:val="18"/>
        </w:rPr>
        <w:t>i</w:t>
      </w:r>
      <w:r w:rsidRPr="006374AC">
        <w:rPr>
          <w:rFonts w:ascii="Verdana" w:hAnsi="Verdana"/>
          <w:color w:val="000000"/>
          <w:sz w:val="18"/>
          <w:szCs w:val="18"/>
        </w:rPr>
        <w:t xml:space="preserve">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D2BC8" w:rsidRDefault="003C1793" w:rsidP="000D2BC8">
      <w:pPr>
        <w:autoSpaceDE w:val="0"/>
        <w:autoSpaceDN w:val="0"/>
        <w:adjustRightInd w:val="0"/>
        <w:jc w:val="both"/>
        <w:rPr>
          <w:rStyle w:val="Hipervnculo"/>
          <w:rFonts w:ascii="Verdana" w:hAnsi="Verdana" w:cs="Arial"/>
          <w:sz w:val="18"/>
          <w:szCs w:val="18"/>
        </w:rPr>
      </w:pPr>
      <w:hyperlink r:id="rId9" w:history="1">
        <w:r w:rsidR="000D2BC8" w:rsidRPr="006374AC">
          <w:rPr>
            <w:rStyle w:val="Hipervnculo"/>
            <w:rFonts w:ascii="Verdana" w:hAnsi="Verdana" w:cs="Arial"/>
            <w:sz w:val="18"/>
            <w:szCs w:val="18"/>
          </w:rPr>
          <w:t>www.ametic.es</w:t>
        </w:r>
      </w:hyperlink>
    </w:p>
    <w:p w:rsidR="00375559" w:rsidRDefault="00375559" w:rsidP="000D2BC8">
      <w:pPr>
        <w:autoSpaceDE w:val="0"/>
        <w:autoSpaceDN w:val="0"/>
        <w:adjustRightInd w:val="0"/>
        <w:jc w:val="both"/>
        <w:rPr>
          <w:rStyle w:val="Hipervnculo"/>
          <w:rFonts w:ascii="Verdana" w:hAnsi="Verdana" w:cs="Arial"/>
          <w:sz w:val="18"/>
          <w:szCs w:val="18"/>
        </w:rPr>
      </w:pPr>
    </w:p>
    <w:p w:rsidR="0016349D" w:rsidRDefault="0016349D" w:rsidP="000D2BC8">
      <w:pPr>
        <w:autoSpaceDE w:val="0"/>
        <w:autoSpaceDN w:val="0"/>
        <w:adjustRightInd w:val="0"/>
        <w:jc w:val="both"/>
        <w:rPr>
          <w:rStyle w:val="Hipervnculo"/>
          <w:rFonts w:ascii="Verdana" w:hAnsi="Verdana" w:cs="Arial"/>
          <w:sz w:val="18"/>
          <w:szCs w:val="18"/>
        </w:rPr>
      </w:pPr>
    </w:p>
    <w:p w:rsidR="00DA6EC4" w:rsidRDefault="001966E1" w:rsidP="000D2BC8">
      <w:pPr>
        <w:autoSpaceDE w:val="0"/>
        <w:autoSpaceDN w:val="0"/>
        <w:adjustRightInd w:val="0"/>
        <w:jc w:val="both"/>
        <w:rPr>
          <w:rStyle w:val="Hipervnculo"/>
          <w:rFonts w:ascii="Verdana" w:hAnsi="Verdana" w:cs="Arial"/>
          <w:sz w:val="18"/>
          <w:szCs w:val="18"/>
        </w:rPr>
      </w:pPr>
      <w:r>
        <w:rPr>
          <w:noProof/>
        </w:rPr>
        <w:drawing>
          <wp:inline distT="0" distB="0" distL="0" distR="0" wp14:anchorId="26D691FD" wp14:editId="10AB6E0E">
            <wp:extent cx="1766454" cy="609534"/>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71792" cy="611376"/>
                    </a:xfrm>
                    <a:prstGeom prst="rect">
                      <a:avLst/>
                    </a:prstGeom>
                    <a:noFill/>
                    <a:ln w="9525">
                      <a:noFill/>
                      <a:miter lim="800000"/>
                      <a:headEnd/>
                      <a:tailEnd/>
                    </a:ln>
                  </pic:spPr>
                </pic:pic>
              </a:graphicData>
            </a:graphic>
          </wp:inline>
        </w:drawing>
      </w:r>
    </w:p>
    <w:sectPr w:rsidR="00DA6EC4" w:rsidSect="002D5E3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93" w:rsidRDefault="003C1793">
      <w:r>
        <w:separator/>
      </w:r>
    </w:p>
  </w:endnote>
  <w:endnote w:type="continuationSeparator" w:id="0">
    <w:p w:rsidR="003C1793" w:rsidRDefault="003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3C1793" w:rsidP="009E1311">
    <w:pPr>
      <w:pStyle w:val="Piedepgina"/>
      <w:jc w:val="center"/>
      <w:rPr>
        <w:rFonts w:ascii="Verdana" w:hAnsi="Verdana" w:cs="Arial"/>
        <w:color w:val="404040"/>
        <w:sz w:val="18"/>
        <w:szCs w:val="18"/>
        <w:shd w:val="clear" w:color="auto" w:fill="FFFFFF"/>
      </w:rPr>
    </w:pPr>
  </w:p>
  <w:p w:rsidR="000E0D7E" w:rsidRPr="009E1311" w:rsidRDefault="000D2BC8"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0D2BC8" w:rsidP="009E1311">
    <w:pPr>
      <w:pStyle w:val="Piedepgina"/>
      <w:jc w:val="center"/>
      <w:rPr>
        <w:rFonts w:ascii="Verdana" w:hAnsi="Verdana" w:cs="Arial"/>
        <w:bCs/>
        <w:color w:val="404040"/>
        <w:sz w:val="18"/>
        <w:szCs w:val="18"/>
        <w:shd w:val="clear" w:color="auto" w:fill="FFFFFF"/>
      </w:rPr>
    </w:pPr>
    <w:proofErr w:type="gramStart"/>
    <w:r w:rsidRPr="009E1311">
      <w:rPr>
        <w:rFonts w:ascii="Verdana" w:hAnsi="Verdana" w:cs="Arial"/>
        <w:color w:val="404040"/>
        <w:sz w:val="18"/>
        <w:szCs w:val="18"/>
        <w:shd w:val="clear" w:color="auto" w:fill="FFFFFF"/>
      </w:rPr>
      <w:t>y</w:t>
    </w:r>
    <w:proofErr w:type="gramEnd"/>
    <w:r w:rsidRPr="009E1311">
      <w:rPr>
        <w:rFonts w:ascii="Verdana" w:hAnsi="Verdana" w:cs="Arial"/>
        <w:color w:val="404040"/>
        <w:sz w:val="18"/>
        <w:szCs w:val="18"/>
        <w:shd w:val="clear" w:color="auto" w:fill="FFFFFF"/>
      </w:rPr>
      <w:t xml:space="preserve">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0E0D7E" w:rsidRPr="009E1311" w:rsidRDefault="003C1793" w:rsidP="009E1311">
    <w:pPr>
      <w:pStyle w:val="Piedepgina"/>
      <w:jc w:val="center"/>
      <w:rPr>
        <w:rFonts w:ascii="Verdana" w:hAnsi="Verdana" w:cs="Arial"/>
        <w:bCs/>
        <w:color w:val="404040"/>
        <w:sz w:val="18"/>
        <w:szCs w:val="18"/>
        <w:shd w:val="clear" w:color="auto" w:fill="FFFFFF"/>
      </w:rPr>
    </w:pPr>
  </w:p>
  <w:p w:rsidR="000E0D7E" w:rsidRPr="009E1311" w:rsidRDefault="000D2BC8"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D2BC8"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93" w:rsidRDefault="003C1793">
      <w:r>
        <w:separator/>
      </w:r>
    </w:p>
  </w:footnote>
  <w:footnote w:type="continuationSeparator" w:id="0">
    <w:p w:rsidR="003C1793" w:rsidRDefault="003C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D2BC8">
    <w:pPr>
      <w:pStyle w:val="Encabezado"/>
    </w:pPr>
    <w:r>
      <w:rPr>
        <w:noProof/>
        <w:lang w:eastAsia="es-ES"/>
      </w:rPr>
      <w:drawing>
        <wp:inline distT="0" distB="0" distL="0" distR="0" wp14:anchorId="70649202" wp14:editId="5D424BD7">
          <wp:extent cx="1988128" cy="814186"/>
          <wp:effectExtent l="0" t="0" r="0" b="508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91000" cy="815362"/>
                  </a:xfrm>
                  <a:prstGeom prst="rect">
                    <a:avLst/>
                  </a:prstGeom>
                  <a:noFill/>
                  <a:ln w="9525">
                    <a:noFill/>
                    <a:miter lim="800000"/>
                    <a:headEnd/>
                    <a:tailEnd/>
                  </a:ln>
                </pic:spPr>
              </pic:pic>
            </a:graphicData>
          </a:graphic>
        </wp:inline>
      </w:drawing>
    </w:r>
  </w:p>
  <w:p w:rsidR="000E0D7E" w:rsidRPr="009E1311" w:rsidRDefault="000D2BC8"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3C17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F9"/>
    <w:multiLevelType w:val="hybridMultilevel"/>
    <w:tmpl w:val="A7E698D4"/>
    <w:lvl w:ilvl="0" w:tplc="96E4554A">
      <w:start w:val="1"/>
      <w:numFmt w:val="bullet"/>
      <w:lvlText w:val="•"/>
      <w:lvlJc w:val="left"/>
      <w:pPr>
        <w:tabs>
          <w:tab w:val="num" w:pos="720"/>
        </w:tabs>
        <w:ind w:left="720" w:hanging="360"/>
      </w:pPr>
      <w:rPr>
        <w:rFonts w:ascii="Arial" w:hAnsi="Arial" w:hint="default"/>
      </w:rPr>
    </w:lvl>
    <w:lvl w:ilvl="1" w:tplc="4BD6A2A2">
      <w:start w:val="1"/>
      <w:numFmt w:val="bullet"/>
      <w:lvlText w:val="•"/>
      <w:lvlJc w:val="left"/>
      <w:pPr>
        <w:tabs>
          <w:tab w:val="num" w:pos="1440"/>
        </w:tabs>
        <w:ind w:left="1440" w:hanging="360"/>
      </w:pPr>
      <w:rPr>
        <w:rFonts w:ascii="Arial" w:hAnsi="Arial" w:hint="default"/>
      </w:rPr>
    </w:lvl>
    <w:lvl w:ilvl="2" w:tplc="96FA68D8">
      <w:start w:val="78"/>
      <w:numFmt w:val="bullet"/>
      <w:lvlText w:val="•"/>
      <w:lvlJc w:val="left"/>
      <w:pPr>
        <w:tabs>
          <w:tab w:val="num" w:pos="2160"/>
        </w:tabs>
        <w:ind w:left="2160" w:hanging="360"/>
      </w:pPr>
      <w:rPr>
        <w:rFonts w:ascii="Arial" w:hAnsi="Arial" w:hint="default"/>
      </w:rPr>
    </w:lvl>
    <w:lvl w:ilvl="3" w:tplc="C15091F6">
      <w:start w:val="78"/>
      <w:numFmt w:val="bullet"/>
      <w:lvlText w:val="•"/>
      <w:lvlJc w:val="left"/>
      <w:pPr>
        <w:tabs>
          <w:tab w:val="num" w:pos="2880"/>
        </w:tabs>
        <w:ind w:left="2880" w:hanging="360"/>
      </w:pPr>
      <w:rPr>
        <w:rFonts w:ascii="Arial" w:hAnsi="Arial" w:hint="default"/>
      </w:rPr>
    </w:lvl>
    <w:lvl w:ilvl="4" w:tplc="FDB0EAAC">
      <w:start w:val="78"/>
      <w:numFmt w:val="bullet"/>
      <w:lvlText w:val="•"/>
      <w:lvlJc w:val="left"/>
      <w:pPr>
        <w:tabs>
          <w:tab w:val="num" w:pos="3600"/>
        </w:tabs>
        <w:ind w:left="3600" w:hanging="360"/>
      </w:pPr>
      <w:rPr>
        <w:rFonts w:ascii="Arial" w:hAnsi="Arial" w:hint="default"/>
      </w:rPr>
    </w:lvl>
    <w:lvl w:ilvl="5" w:tplc="6B4E2F4C" w:tentative="1">
      <w:start w:val="1"/>
      <w:numFmt w:val="bullet"/>
      <w:lvlText w:val="•"/>
      <w:lvlJc w:val="left"/>
      <w:pPr>
        <w:tabs>
          <w:tab w:val="num" w:pos="4320"/>
        </w:tabs>
        <w:ind w:left="4320" w:hanging="360"/>
      </w:pPr>
      <w:rPr>
        <w:rFonts w:ascii="Arial" w:hAnsi="Arial" w:hint="default"/>
      </w:rPr>
    </w:lvl>
    <w:lvl w:ilvl="6" w:tplc="FBCA3834" w:tentative="1">
      <w:start w:val="1"/>
      <w:numFmt w:val="bullet"/>
      <w:lvlText w:val="•"/>
      <w:lvlJc w:val="left"/>
      <w:pPr>
        <w:tabs>
          <w:tab w:val="num" w:pos="5040"/>
        </w:tabs>
        <w:ind w:left="5040" w:hanging="360"/>
      </w:pPr>
      <w:rPr>
        <w:rFonts w:ascii="Arial" w:hAnsi="Arial" w:hint="default"/>
      </w:rPr>
    </w:lvl>
    <w:lvl w:ilvl="7" w:tplc="9476E038" w:tentative="1">
      <w:start w:val="1"/>
      <w:numFmt w:val="bullet"/>
      <w:lvlText w:val="•"/>
      <w:lvlJc w:val="left"/>
      <w:pPr>
        <w:tabs>
          <w:tab w:val="num" w:pos="5760"/>
        </w:tabs>
        <w:ind w:left="5760" w:hanging="360"/>
      </w:pPr>
      <w:rPr>
        <w:rFonts w:ascii="Arial" w:hAnsi="Arial" w:hint="default"/>
      </w:rPr>
    </w:lvl>
    <w:lvl w:ilvl="8" w:tplc="74B24036" w:tentative="1">
      <w:start w:val="1"/>
      <w:numFmt w:val="bullet"/>
      <w:lvlText w:val="•"/>
      <w:lvlJc w:val="left"/>
      <w:pPr>
        <w:tabs>
          <w:tab w:val="num" w:pos="6480"/>
        </w:tabs>
        <w:ind w:left="6480" w:hanging="360"/>
      </w:pPr>
      <w:rPr>
        <w:rFonts w:ascii="Arial" w:hAnsi="Arial" w:hint="default"/>
      </w:rPr>
    </w:lvl>
  </w:abstractNum>
  <w:abstractNum w:abstractNumId="1">
    <w:nsid w:val="0D215C44"/>
    <w:multiLevelType w:val="hybridMultilevel"/>
    <w:tmpl w:val="1F50B1E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9D028C"/>
    <w:multiLevelType w:val="hybridMultilevel"/>
    <w:tmpl w:val="CD8E5312"/>
    <w:lvl w:ilvl="0" w:tplc="C048224A">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3E3EFF"/>
    <w:multiLevelType w:val="hybridMultilevel"/>
    <w:tmpl w:val="03D6A9FC"/>
    <w:lvl w:ilvl="0" w:tplc="C048224A">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EB3CDA"/>
    <w:multiLevelType w:val="hybridMultilevel"/>
    <w:tmpl w:val="73D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66FA6"/>
    <w:multiLevelType w:val="hybridMultilevel"/>
    <w:tmpl w:val="149633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2C282D"/>
    <w:multiLevelType w:val="hybridMultilevel"/>
    <w:tmpl w:val="26D2CF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66088A"/>
    <w:multiLevelType w:val="hybridMultilevel"/>
    <w:tmpl w:val="685873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DD507C"/>
    <w:multiLevelType w:val="hybridMultilevel"/>
    <w:tmpl w:val="BBBEF8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7"/>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C8"/>
    <w:rsid w:val="000D2BC8"/>
    <w:rsid w:val="00154498"/>
    <w:rsid w:val="0016349D"/>
    <w:rsid w:val="001966E1"/>
    <w:rsid w:val="001D05E4"/>
    <w:rsid w:val="002444D4"/>
    <w:rsid w:val="00375559"/>
    <w:rsid w:val="003C1793"/>
    <w:rsid w:val="003C619C"/>
    <w:rsid w:val="003F46A7"/>
    <w:rsid w:val="004E0D2C"/>
    <w:rsid w:val="005409D6"/>
    <w:rsid w:val="00581242"/>
    <w:rsid w:val="005F3DE5"/>
    <w:rsid w:val="006374AC"/>
    <w:rsid w:val="007C03DF"/>
    <w:rsid w:val="007E5397"/>
    <w:rsid w:val="007F39A6"/>
    <w:rsid w:val="00861AE3"/>
    <w:rsid w:val="008A5813"/>
    <w:rsid w:val="00922EE0"/>
    <w:rsid w:val="009E1CC0"/>
    <w:rsid w:val="009F3D7E"/>
    <w:rsid w:val="00AC0CEE"/>
    <w:rsid w:val="00AF15E4"/>
    <w:rsid w:val="00B231C0"/>
    <w:rsid w:val="00B800EA"/>
    <w:rsid w:val="00B815D8"/>
    <w:rsid w:val="00B84610"/>
    <w:rsid w:val="00DA6EC4"/>
    <w:rsid w:val="00EC560F"/>
    <w:rsid w:val="00FB2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2BC8"/>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0D2BC8"/>
    <w:rPr>
      <w:rFonts w:ascii="Calibri" w:eastAsia="Calibri" w:hAnsi="Calibri" w:cs="Times New Roman"/>
    </w:rPr>
  </w:style>
  <w:style w:type="paragraph" w:styleId="Piedepgina">
    <w:name w:val="footer"/>
    <w:basedOn w:val="Normal"/>
    <w:link w:val="PiedepginaCar"/>
    <w:uiPriority w:val="99"/>
    <w:rsid w:val="000D2BC8"/>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0D2BC8"/>
    <w:rPr>
      <w:rFonts w:ascii="Calibri" w:eastAsia="Calibri" w:hAnsi="Calibri" w:cs="Times New Roman"/>
    </w:rPr>
  </w:style>
  <w:style w:type="character" w:customStyle="1" w:styleId="apple-converted-space">
    <w:name w:val="apple-converted-space"/>
    <w:basedOn w:val="Fuentedeprrafopredeter"/>
    <w:rsid w:val="000D2BC8"/>
    <w:rPr>
      <w:rFonts w:cs="Times New Roman"/>
    </w:rPr>
  </w:style>
  <w:style w:type="paragraph" w:styleId="Sinespaciado">
    <w:name w:val="No Spacing"/>
    <w:uiPriority w:val="1"/>
    <w:qFormat/>
    <w:rsid w:val="000D2BC8"/>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0D2BC8"/>
    <w:rPr>
      <w:rFonts w:cs="Times New Roman"/>
      <w:color w:val="0000FF"/>
      <w:u w:val="single"/>
    </w:rPr>
  </w:style>
  <w:style w:type="paragraph" w:styleId="Textodeglobo">
    <w:name w:val="Balloon Text"/>
    <w:basedOn w:val="Normal"/>
    <w:link w:val="TextodegloboCar"/>
    <w:uiPriority w:val="99"/>
    <w:semiHidden/>
    <w:unhideWhenUsed/>
    <w:rsid w:val="000D2BC8"/>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C8"/>
    <w:rPr>
      <w:rFonts w:ascii="Tahoma" w:eastAsia="Times New Roman" w:hAnsi="Tahoma" w:cs="Tahoma"/>
      <w:sz w:val="16"/>
      <w:szCs w:val="16"/>
      <w:lang w:eastAsia="es-ES"/>
    </w:rPr>
  </w:style>
  <w:style w:type="paragraph" w:styleId="Prrafodelista">
    <w:name w:val="List Paragraph"/>
    <w:basedOn w:val="Normal"/>
    <w:uiPriority w:val="34"/>
    <w:qFormat/>
    <w:rsid w:val="00EC5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2BC8"/>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0D2BC8"/>
    <w:rPr>
      <w:rFonts w:ascii="Calibri" w:eastAsia="Calibri" w:hAnsi="Calibri" w:cs="Times New Roman"/>
    </w:rPr>
  </w:style>
  <w:style w:type="paragraph" w:styleId="Piedepgina">
    <w:name w:val="footer"/>
    <w:basedOn w:val="Normal"/>
    <w:link w:val="PiedepginaCar"/>
    <w:uiPriority w:val="99"/>
    <w:rsid w:val="000D2BC8"/>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0D2BC8"/>
    <w:rPr>
      <w:rFonts w:ascii="Calibri" w:eastAsia="Calibri" w:hAnsi="Calibri" w:cs="Times New Roman"/>
    </w:rPr>
  </w:style>
  <w:style w:type="character" w:customStyle="1" w:styleId="apple-converted-space">
    <w:name w:val="apple-converted-space"/>
    <w:basedOn w:val="Fuentedeprrafopredeter"/>
    <w:rsid w:val="000D2BC8"/>
    <w:rPr>
      <w:rFonts w:cs="Times New Roman"/>
    </w:rPr>
  </w:style>
  <w:style w:type="paragraph" w:styleId="Sinespaciado">
    <w:name w:val="No Spacing"/>
    <w:uiPriority w:val="1"/>
    <w:qFormat/>
    <w:rsid w:val="000D2BC8"/>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0D2BC8"/>
    <w:rPr>
      <w:rFonts w:cs="Times New Roman"/>
      <w:color w:val="0000FF"/>
      <w:u w:val="single"/>
    </w:rPr>
  </w:style>
  <w:style w:type="paragraph" w:styleId="Textodeglobo">
    <w:name w:val="Balloon Text"/>
    <w:basedOn w:val="Normal"/>
    <w:link w:val="TextodegloboCar"/>
    <w:uiPriority w:val="99"/>
    <w:semiHidden/>
    <w:unhideWhenUsed/>
    <w:rsid w:val="000D2BC8"/>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C8"/>
    <w:rPr>
      <w:rFonts w:ascii="Tahoma" w:eastAsia="Times New Roman" w:hAnsi="Tahoma" w:cs="Tahoma"/>
      <w:sz w:val="16"/>
      <w:szCs w:val="16"/>
      <w:lang w:eastAsia="es-ES"/>
    </w:rPr>
  </w:style>
  <w:style w:type="paragraph" w:styleId="Prrafodelista">
    <w:name w:val="List Paragraph"/>
    <w:basedOn w:val="Normal"/>
    <w:uiPriority w:val="34"/>
    <w:qFormat/>
    <w:rsid w:val="00EC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2014-12-04T13:20:00Z</dcterms:created>
  <dcterms:modified xsi:type="dcterms:W3CDTF">2014-12-04T13:20:00Z</dcterms:modified>
</cp:coreProperties>
</file>