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57" w:rsidRPr="00693BB5" w:rsidRDefault="003D6257" w:rsidP="003D6257">
      <w:pPr>
        <w:pStyle w:val="NormalWeb"/>
        <w:spacing w:before="0" w:beforeAutospacing="0" w:after="0" w:afterAutospacing="0"/>
        <w:rPr>
          <w:rFonts w:ascii="Verdana" w:eastAsia="Verdana" w:hAnsi="Verdana" w:cs="Verdana"/>
          <w:b/>
          <w:bCs/>
          <w:color w:val="906030"/>
          <w:kern w:val="24"/>
        </w:rPr>
      </w:pPr>
      <w:r w:rsidRPr="00693BB5">
        <w:rPr>
          <w:rFonts w:ascii="Verdana" w:eastAsia="Verdana" w:hAnsi="Verdana" w:cs="Verdana"/>
          <w:b/>
          <w:bCs/>
          <w:color w:val="906030"/>
          <w:kern w:val="24"/>
        </w:rPr>
        <w:t>Un 4,8 % más que en el ejercicio anterior</w:t>
      </w:r>
    </w:p>
    <w:p w:rsidR="007970F9" w:rsidRPr="00693BB5" w:rsidRDefault="007970F9" w:rsidP="003D6257">
      <w:pPr>
        <w:pStyle w:val="NormalWeb"/>
        <w:spacing w:before="0" w:beforeAutospacing="0" w:after="0" w:afterAutospacing="0"/>
        <w:rPr>
          <w:rFonts w:ascii="Verdana" w:eastAsia="Verdana" w:hAnsi="Verdana" w:cs="Verdana"/>
          <w:b/>
          <w:bCs/>
          <w:color w:val="906030"/>
          <w:kern w:val="24"/>
          <w:sz w:val="20"/>
          <w:szCs w:val="20"/>
        </w:rPr>
      </w:pPr>
    </w:p>
    <w:p w:rsidR="00DE68A5" w:rsidRPr="00693BB5" w:rsidRDefault="00DE68A5" w:rsidP="00DE68A5">
      <w:pPr>
        <w:pStyle w:val="NormalWeb"/>
        <w:spacing w:before="0" w:beforeAutospacing="0" w:after="0" w:afterAutospacing="0"/>
        <w:jc w:val="center"/>
        <w:rPr>
          <w:rFonts w:ascii="Verdana" w:eastAsia="Verdana" w:hAnsi="Verdana" w:cs="Verdana"/>
          <w:b/>
          <w:bCs/>
          <w:color w:val="906030"/>
          <w:kern w:val="24"/>
          <w:sz w:val="48"/>
          <w:szCs w:val="48"/>
        </w:rPr>
      </w:pPr>
      <w:r w:rsidRPr="00693BB5">
        <w:rPr>
          <w:rFonts w:ascii="Verdana" w:eastAsia="Verdana" w:hAnsi="Verdana" w:cs="Verdana"/>
          <w:b/>
          <w:bCs/>
          <w:color w:val="906030"/>
          <w:kern w:val="24"/>
          <w:sz w:val="48"/>
          <w:szCs w:val="48"/>
        </w:rPr>
        <w:t>El h</w:t>
      </w:r>
      <w:r w:rsidR="003D6257" w:rsidRPr="00693BB5">
        <w:rPr>
          <w:rFonts w:ascii="Verdana" w:eastAsia="Verdana" w:hAnsi="Verdana" w:cs="Verdana"/>
          <w:b/>
          <w:bCs/>
          <w:color w:val="906030"/>
          <w:kern w:val="24"/>
          <w:sz w:val="48"/>
          <w:szCs w:val="48"/>
        </w:rPr>
        <w:t xml:space="preserve">ipersector TIC facturó 90.010 </w:t>
      </w:r>
    </w:p>
    <w:p w:rsidR="003D6257" w:rsidRPr="00693BB5" w:rsidRDefault="003D6257" w:rsidP="00DE68A5">
      <w:pPr>
        <w:pStyle w:val="NormalWeb"/>
        <w:spacing w:before="0" w:beforeAutospacing="0" w:after="0" w:afterAutospacing="0"/>
        <w:jc w:val="center"/>
        <w:rPr>
          <w:rFonts w:ascii="Verdana" w:eastAsia="Verdana" w:hAnsi="Verdana" w:cs="Verdana"/>
          <w:b/>
          <w:bCs/>
          <w:color w:val="906030"/>
          <w:kern w:val="24"/>
          <w:sz w:val="48"/>
          <w:szCs w:val="48"/>
        </w:rPr>
      </w:pPr>
      <w:r w:rsidRPr="00693BB5">
        <w:rPr>
          <w:rFonts w:ascii="Verdana" w:eastAsia="Verdana" w:hAnsi="Verdana" w:cs="Verdana"/>
          <w:b/>
          <w:bCs/>
          <w:color w:val="906030"/>
          <w:kern w:val="24"/>
          <w:sz w:val="48"/>
          <w:szCs w:val="48"/>
        </w:rPr>
        <w:t>millones de euros en 2015</w:t>
      </w:r>
    </w:p>
    <w:p w:rsidR="00DE68A5" w:rsidRPr="00693BB5" w:rsidRDefault="00DE68A5" w:rsidP="003D6257">
      <w:pPr>
        <w:pStyle w:val="NormalWeb"/>
        <w:spacing w:before="0" w:beforeAutospacing="0" w:after="0" w:afterAutospacing="0"/>
        <w:rPr>
          <w:rFonts w:ascii="Verdana" w:eastAsia="Verdana" w:hAnsi="Verdana" w:cs="Verdana"/>
          <w:b/>
          <w:bCs/>
          <w:color w:val="906030"/>
          <w:kern w:val="24"/>
          <w:sz w:val="28"/>
          <w:szCs w:val="28"/>
        </w:rPr>
      </w:pPr>
    </w:p>
    <w:p w:rsidR="007970F9" w:rsidRPr="00693BB5" w:rsidRDefault="007970F9" w:rsidP="00DE68A5">
      <w:pPr>
        <w:pStyle w:val="NormalWeb"/>
        <w:numPr>
          <w:ilvl w:val="0"/>
          <w:numId w:val="11"/>
        </w:numPr>
        <w:spacing w:before="0" w:beforeAutospacing="0" w:after="0" w:afterAutospacing="0"/>
        <w:jc w:val="both"/>
        <w:rPr>
          <w:rFonts w:ascii="Verdana" w:eastAsia="Verdana" w:hAnsi="Verdana" w:cs="Verdana"/>
          <w:b/>
          <w:bCs/>
          <w:color w:val="906030"/>
          <w:kern w:val="24"/>
          <w:sz w:val="23"/>
          <w:szCs w:val="23"/>
        </w:rPr>
      </w:pPr>
      <w:r w:rsidRPr="00693BB5">
        <w:rPr>
          <w:rFonts w:ascii="Verdana" w:eastAsia="Verdana" w:hAnsi="Verdana" w:cs="Verdana"/>
          <w:b/>
          <w:bCs/>
          <w:color w:val="906030"/>
          <w:kern w:val="24"/>
          <w:sz w:val="23"/>
          <w:szCs w:val="23"/>
        </w:rPr>
        <w:t xml:space="preserve">Los </w:t>
      </w:r>
      <w:r w:rsidR="00945F6C">
        <w:rPr>
          <w:rFonts w:ascii="Verdana" w:eastAsia="Verdana" w:hAnsi="Verdana" w:cs="Verdana"/>
          <w:b/>
          <w:bCs/>
          <w:color w:val="906030"/>
          <w:kern w:val="24"/>
          <w:sz w:val="23"/>
          <w:szCs w:val="23"/>
        </w:rPr>
        <w:t>Contenidos digitales y los S</w:t>
      </w:r>
      <w:r w:rsidRPr="00693BB5">
        <w:rPr>
          <w:rFonts w:ascii="Verdana" w:eastAsia="Verdana" w:hAnsi="Verdana" w:cs="Verdana"/>
          <w:b/>
          <w:bCs/>
          <w:color w:val="906030"/>
          <w:kern w:val="24"/>
          <w:sz w:val="23"/>
          <w:szCs w:val="23"/>
        </w:rPr>
        <w:t>ervicios audiovisuales</w:t>
      </w:r>
      <w:r w:rsidR="00DE68A5" w:rsidRPr="00693BB5">
        <w:rPr>
          <w:rFonts w:ascii="Verdana" w:eastAsia="Verdana" w:hAnsi="Verdana" w:cs="Verdana"/>
          <w:b/>
          <w:bCs/>
          <w:color w:val="906030"/>
          <w:kern w:val="24"/>
          <w:sz w:val="23"/>
          <w:szCs w:val="23"/>
        </w:rPr>
        <w:t>,</w:t>
      </w:r>
      <w:r w:rsidRPr="00693BB5">
        <w:rPr>
          <w:rFonts w:ascii="Verdana" w:eastAsia="Verdana" w:hAnsi="Verdana" w:cs="Verdana"/>
          <w:b/>
          <w:bCs/>
          <w:color w:val="906030"/>
          <w:kern w:val="24"/>
          <w:sz w:val="23"/>
          <w:szCs w:val="23"/>
        </w:rPr>
        <w:t xml:space="preserve"> los subsectores que más suben.</w:t>
      </w:r>
    </w:p>
    <w:p w:rsidR="007970F9" w:rsidRPr="00693BB5" w:rsidRDefault="007970F9" w:rsidP="00DE68A5">
      <w:pPr>
        <w:pStyle w:val="NormalWeb"/>
        <w:spacing w:before="0" w:beforeAutospacing="0" w:after="0" w:afterAutospacing="0"/>
        <w:jc w:val="both"/>
        <w:rPr>
          <w:rFonts w:ascii="Verdana" w:eastAsia="Verdana" w:hAnsi="Verdana" w:cs="Verdana"/>
          <w:b/>
          <w:bCs/>
          <w:color w:val="906030"/>
          <w:kern w:val="24"/>
          <w:sz w:val="23"/>
          <w:szCs w:val="23"/>
        </w:rPr>
      </w:pPr>
    </w:p>
    <w:p w:rsidR="007970F9" w:rsidRPr="00693BB5" w:rsidRDefault="00DE68A5" w:rsidP="00DE68A5">
      <w:pPr>
        <w:pStyle w:val="NormalWeb"/>
        <w:numPr>
          <w:ilvl w:val="0"/>
          <w:numId w:val="11"/>
        </w:numPr>
        <w:spacing w:before="0" w:beforeAutospacing="0" w:after="0" w:afterAutospacing="0" w:line="192" w:lineRule="auto"/>
        <w:jc w:val="both"/>
        <w:rPr>
          <w:rFonts w:ascii="Verdana" w:eastAsia="+mn-ea" w:hAnsi="Verdana" w:cs="+mn-cs"/>
          <w:b/>
          <w:bCs/>
          <w:color w:val="906030"/>
          <w:kern w:val="24"/>
          <w:sz w:val="23"/>
          <w:szCs w:val="23"/>
        </w:rPr>
      </w:pPr>
      <w:r w:rsidRPr="00693BB5">
        <w:rPr>
          <w:rFonts w:ascii="Verdana" w:eastAsia="+mn-ea" w:hAnsi="Verdana" w:cs="+mn-cs"/>
          <w:b/>
          <w:bCs/>
          <w:color w:val="906030"/>
          <w:kern w:val="24"/>
          <w:sz w:val="23"/>
          <w:szCs w:val="23"/>
        </w:rPr>
        <w:t xml:space="preserve">La previsión para el presente año es llegar a los </w:t>
      </w:r>
      <w:r w:rsidR="007970F9" w:rsidRPr="00693BB5">
        <w:rPr>
          <w:rFonts w:ascii="Verdana" w:eastAsia="+mn-ea" w:hAnsi="Verdana" w:cs="+mn-cs"/>
          <w:b/>
          <w:bCs/>
          <w:color w:val="906030"/>
          <w:kern w:val="24"/>
          <w:sz w:val="23"/>
          <w:szCs w:val="23"/>
        </w:rPr>
        <w:t>94.857 millones de euros, por lo que estaríamos hablando de un incremento del  5,4% al finalizar el presente ejercicio.</w:t>
      </w:r>
    </w:p>
    <w:p w:rsidR="007970F9" w:rsidRPr="00693BB5" w:rsidRDefault="007970F9" w:rsidP="00DE68A5">
      <w:pPr>
        <w:pStyle w:val="NormalWeb"/>
        <w:spacing w:before="0" w:beforeAutospacing="0" w:after="0" w:afterAutospacing="0"/>
        <w:jc w:val="both"/>
        <w:rPr>
          <w:rFonts w:ascii="Verdana" w:eastAsia="Verdana" w:hAnsi="Verdana" w:cs="Verdana"/>
          <w:b/>
          <w:bCs/>
          <w:color w:val="906030"/>
          <w:kern w:val="24"/>
          <w:sz w:val="23"/>
          <w:szCs w:val="23"/>
        </w:rPr>
      </w:pPr>
    </w:p>
    <w:p w:rsidR="007970F9" w:rsidRPr="00693BB5" w:rsidRDefault="00DE68A5" w:rsidP="00DE68A5">
      <w:pPr>
        <w:pStyle w:val="NormalWeb"/>
        <w:numPr>
          <w:ilvl w:val="0"/>
          <w:numId w:val="11"/>
        </w:numPr>
        <w:spacing w:before="0" w:beforeAutospacing="0" w:after="0" w:afterAutospacing="0"/>
        <w:jc w:val="both"/>
        <w:rPr>
          <w:rFonts w:ascii="Verdana" w:eastAsia="Verdana" w:hAnsi="Verdana" w:cs="Verdana"/>
          <w:b/>
          <w:bCs/>
          <w:color w:val="906030"/>
          <w:kern w:val="24"/>
          <w:sz w:val="23"/>
          <w:szCs w:val="23"/>
        </w:rPr>
      </w:pPr>
      <w:r w:rsidRPr="00693BB5">
        <w:rPr>
          <w:rFonts w:ascii="Verdana" w:eastAsia="+mn-ea" w:hAnsi="Verdana" w:cs="+mn-cs"/>
          <w:b/>
          <w:bCs/>
          <w:color w:val="906030"/>
          <w:kern w:val="24"/>
          <w:sz w:val="23"/>
          <w:szCs w:val="23"/>
        </w:rPr>
        <w:t xml:space="preserve">El </w:t>
      </w:r>
      <w:r w:rsidR="007970F9" w:rsidRPr="00693BB5">
        <w:rPr>
          <w:rFonts w:ascii="Verdana" w:eastAsia="+mn-ea" w:hAnsi="Verdana" w:cs="+mn-cs"/>
          <w:b/>
          <w:bCs/>
          <w:color w:val="906030"/>
          <w:kern w:val="24"/>
          <w:sz w:val="23"/>
          <w:szCs w:val="23"/>
        </w:rPr>
        <w:t>empleo</w:t>
      </w:r>
      <w:r w:rsidRPr="00693BB5">
        <w:rPr>
          <w:rFonts w:ascii="Verdana" w:eastAsia="+mn-ea" w:hAnsi="Verdana" w:cs="+mn-cs"/>
          <w:b/>
          <w:bCs/>
          <w:color w:val="906030"/>
          <w:kern w:val="24"/>
          <w:sz w:val="23"/>
          <w:szCs w:val="23"/>
        </w:rPr>
        <w:t xml:space="preserve"> generado,</w:t>
      </w:r>
      <w:r w:rsidR="007970F9" w:rsidRPr="00693BB5">
        <w:rPr>
          <w:rFonts w:ascii="Verdana" w:eastAsia="+mn-ea" w:hAnsi="Verdana" w:cs="+mn-cs"/>
          <w:b/>
          <w:bCs/>
          <w:color w:val="906030"/>
          <w:kern w:val="24"/>
          <w:sz w:val="23"/>
          <w:szCs w:val="23"/>
        </w:rPr>
        <w:t xml:space="preserve"> a 31 de diciembre de 2015</w:t>
      </w:r>
      <w:r w:rsidRPr="00693BB5">
        <w:rPr>
          <w:rFonts w:ascii="Verdana" w:eastAsia="+mn-ea" w:hAnsi="Verdana" w:cs="+mn-cs"/>
          <w:b/>
          <w:bCs/>
          <w:color w:val="906030"/>
          <w:kern w:val="24"/>
          <w:sz w:val="23"/>
          <w:szCs w:val="23"/>
        </w:rPr>
        <w:t>, era de</w:t>
      </w:r>
      <w:r w:rsidR="003F37C2" w:rsidRPr="00693BB5">
        <w:rPr>
          <w:rFonts w:ascii="Verdana" w:eastAsia="+mn-ea" w:hAnsi="Verdana" w:cs="+mn-cs"/>
          <w:b/>
          <w:bCs/>
          <w:color w:val="906030"/>
          <w:kern w:val="24"/>
          <w:sz w:val="23"/>
          <w:szCs w:val="23"/>
        </w:rPr>
        <w:t xml:space="preserve"> </w:t>
      </w:r>
      <w:r w:rsidR="007970F9" w:rsidRPr="00693BB5">
        <w:rPr>
          <w:rFonts w:ascii="Verdana" w:eastAsia="+mn-ea" w:hAnsi="Verdana" w:cs="+mn-cs"/>
          <w:b/>
          <w:bCs/>
          <w:color w:val="906030"/>
          <w:kern w:val="24"/>
          <w:sz w:val="23"/>
          <w:szCs w:val="23"/>
        </w:rPr>
        <w:t>432.602 personas, lo que supuso un 1,9% más que en la misma fecha del año anterio</w:t>
      </w:r>
      <w:r w:rsidRPr="00693BB5">
        <w:rPr>
          <w:rFonts w:ascii="Verdana" w:eastAsia="+mn-ea" w:hAnsi="Verdana" w:cs="+mn-cs"/>
          <w:b/>
          <w:bCs/>
          <w:color w:val="906030"/>
          <w:kern w:val="24"/>
          <w:sz w:val="23"/>
          <w:szCs w:val="23"/>
        </w:rPr>
        <w:t>r</w:t>
      </w:r>
      <w:r w:rsidR="007970F9" w:rsidRPr="00693BB5">
        <w:rPr>
          <w:rFonts w:ascii="Verdana" w:eastAsia="+mn-ea" w:hAnsi="Verdana" w:cs="+mn-cs"/>
          <w:b/>
          <w:bCs/>
          <w:color w:val="906030"/>
          <w:kern w:val="24"/>
          <w:sz w:val="23"/>
          <w:szCs w:val="23"/>
        </w:rPr>
        <w:t xml:space="preserve">. </w:t>
      </w:r>
    </w:p>
    <w:p w:rsidR="003D6257" w:rsidRPr="00DE68A5" w:rsidRDefault="003D6257" w:rsidP="003D6257">
      <w:pPr>
        <w:rPr>
          <w:i/>
          <w:color w:val="000000" w:themeColor="text1"/>
        </w:rPr>
      </w:pPr>
    </w:p>
    <w:p w:rsidR="0049444C" w:rsidRPr="0049444C" w:rsidRDefault="003D6257" w:rsidP="0049444C">
      <w:pPr>
        <w:jc w:val="both"/>
        <w:rPr>
          <w:rFonts w:ascii="Verdana" w:hAnsi="Verdana"/>
          <w:color w:val="000000" w:themeColor="text1"/>
          <w:sz w:val="20"/>
          <w:szCs w:val="20"/>
        </w:rPr>
      </w:pPr>
      <w:r w:rsidRPr="00E96BC0">
        <w:rPr>
          <w:rFonts w:ascii="Verdana" w:hAnsi="Verdana"/>
          <w:i/>
          <w:color w:val="000000" w:themeColor="text1"/>
          <w:sz w:val="18"/>
          <w:szCs w:val="18"/>
        </w:rPr>
        <w:t>Madrid, 26 de octubre de 2016.-</w:t>
      </w:r>
      <w:r w:rsidRPr="00693BB5">
        <w:rPr>
          <w:rFonts w:ascii="Verdana" w:hAnsi="Verdana"/>
          <w:color w:val="000000" w:themeColor="text1"/>
          <w:sz w:val="20"/>
          <w:szCs w:val="20"/>
        </w:rPr>
        <w:t xml:space="preserve"> Según </w:t>
      </w:r>
      <w:r w:rsidR="00356DD1" w:rsidRPr="00693BB5">
        <w:rPr>
          <w:rFonts w:ascii="Verdana" w:hAnsi="Verdana"/>
          <w:color w:val="000000" w:themeColor="text1"/>
          <w:sz w:val="20"/>
          <w:szCs w:val="20"/>
        </w:rPr>
        <w:t xml:space="preserve">los datos que maneja AMETIC -Asociación Multisectorial de Empresas de la Electrónica, las Tecnologías de la Información y Comunicación, de las Telecomunicaciones y de los Contenidos Digitales- </w:t>
      </w:r>
      <w:r w:rsidR="0049444C">
        <w:rPr>
          <w:rFonts w:ascii="Verdana" w:hAnsi="Verdana"/>
          <w:color w:val="000000" w:themeColor="text1"/>
          <w:sz w:val="20"/>
          <w:szCs w:val="20"/>
        </w:rPr>
        <w:t>e</w:t>
      </w:r>
      <w:r w:rsidR="0049444C" w:rsidRPr="0049444C">
        <w:rPr>
          <w:rFonts w:ascii="Verdana" w:hAnsi="Verdana"/>
          <w:color w:val="000000" w:themeColor="text1"/>
          <w:sz w:val="20"/>
          <w:szCs w:val="20"/>
        </w:rPr>
        <w:t>l Hipers</w:t>
      </w:r>
      <w:bookmarkStart w:id="0" w:name="_GoBack"/>
      <w:bookmarkEnd w:id="0"/>
      <w:r w:rsidR="0049444C" w:rsidRPr="0049444C">
        <w:rPr>
          <w:rFonts w:ascii="Verdana" w:hAnsi="Verdana"/>
          <w:color w:val="000000" w:themeColor="text1"/>
          <w:sz w:val="20"/>
          <w:szCs w:val="20"/>
        </w:rPr>
        <w:t>ector TIC Facturó 90.010 Millones de Euros en 2015 y esperamos un crecimiento del 5,4% en 2016</w:t>
      </w:r>
      <w:r w:rsidR="0049444C">
        <w:rPr>
          <w:rFonts w:ascii="Verdana" w:hAnsi="Verdana"/>
          <w:color w:val="000000" w:themeColor="text1"/>
          <w:sz w:val="20"/>
          <w:szCs w:val="20"/>
        </w:rPr>
        <w:t>.</w:t>
      </w:r>
    </w:p>
    <w:p w:rsidR="00356DD1" w:rsidRPr="00693BB5" w:rsidRDefault="00356DD1" w:rsidP="007970F9">
      <w:pPr>
        <w:jc w:val="both"/>
        <w:rPr>
          <w:rFonts w:ascii="Verdana" w:hAnsi="Verdana"/>
          <w:color w:val="000000" w:themeColor="text1"/>
          <w:sz w:val="20"/>
          <w:szCs w:val="20"/>
        </w:rPr>
      </w:pPr>
    </w:p>
    <w:p w:rsidR="003D6257" w:rsidRPr="00693BB5" w:rsidRDefault="00B02AEA" w:rsidP="007970F9">
      <w:pPr>
        <w:pStyle w:val="NormalWeb"/>
        <w:kinsoku w:val="0"/>
        <w:overflowPunct w:val="0"/>
        <w:spacing w:before="0" w:beforeAutospacing="0" w:after="0" w:afterAutospacing="0"/>
        <w:jc w:val="both"/>
        <w:textAlignment w:val="baseline"/>
        <w:rPr>
          <w:rFonts w:ascii="Verdana" w:eastAsia="Verdana" w:hAnsi="Verdana" w:cs="Verdana"/>
          <w:color w:val="000000" w:themeColor="text1"/>
          <w:sz w:val="20"/>
          <w:szCs w:val="20"/>
        </w:rPr>
      </w:pPr>
      <w:r w:rsidRPr="00693BB5">
        <w:rPr>
          <w:rFonts w:ascii="Verdana" w:hAnsi="Verdana"/>
          <w:color w:val="000000" w:themeColor="text1"/>
          <w:sz w:val="20"/>
          <w:szCs w:val="20"/>
        </w:rPr>
        <w:t>Excepto las Comunicaciones fijas (-3,4%) y móviles (-5,9%) y la Electrónica de Consumo (-3,4%), el recto de subsectores experimentan subidas: 2,3%, los Servicios mayoristas; otros ingresos de Telecomunicaciones se incrementan un 7,1%; los Servicios Audiovisuales, un 11,5%; los Contenidos digitales (</w:t>
      </w:r>
      <w:r w:rsidRPr="00693BB5">
        <w:rPr>
          <w:rFonts w:ascii="Verdana" w:eastAsia="Verdana" w:hAnsi="Verdana" w:cs="Verdana"/>
          <w:color w:val="000000" w:themeColor="text1"/>
          <w:sz w:val="20"/>
          <w:szCs w:val="20"/>
        </w:rPr>
        <w:t>excluidos Servicios audiovisuales de operadoras), un 13,3%; un 7,3 el Hardware; un 3,4</w:t>
      </w:r>
      <w:r w:rsidR="00693BB5" w:rsidRPr="00693BB5">
        <w:rPr>
          <w:rFonts w:ascii="Verdana" w:eastAsia="Verdana" w:hAnsi="Verdana" w:cs="Verdana"/>
          <w:color w:val="000000" w:themeColor="text1"/>
          <w:sz w:val="20"/>
          <w:szCs w:val="20"/>
        </w:rPr>
        <w:t xml:space="preserve"> el Software; mientras que los S</w:t>
      </w:r>
      <w:r w:rsidRPr="00693BB5">
        <w:rPr>
          <w:rFonts w:ascii="Verdana" w:eastAsia="Verdana" w:hAnsi="Verdana" w:cs="Verdana"/>
          <w:color w:val="000000" w:themeColor="text1"/>
          <w:sz w:val="20"/>
          <w:szCs w:val="20"/>
        </w:rPr>
        <w:t xml:space="preserve">ervicios TI subían un 7,6%; finalmente, la Industria Electrónica alcanzó un alza de un 3,2% </w:t>
      </w:r>
      <w:r w:rsidRPr="00693BB5">
        <w:rPr>
          <w:rFonts w:ascii="Verdana" w:eastAsia="Verdana" w:hAnsi="Verdana" w:cs="Verdana"/>
          <w:i/>
          <w:color w:val="000000" w:themeColor="text1"/>
          <w:sz w:val="20"/>
          <w:szCs w:val="20"/>
        </w:rPr>
        <w:t>(ver criterios de segmentación en cuadro al final de la not</w:t>
      </w:r>
      <w:r w:rsidRPr="00693BB5">
        <w:rPr>
          <w:rFonts w:ascii="Verdana" w:eastAsia="Verdana" w:hAnsi="Verdana" w:cs="Verdana"/>
          <w:color w:val="000000" w:themeColor="text1"/>
          <w:sz w:val="20"/>
          <w:szCs w:val="20"/>
        </w:rPr>
        <w:t xml:space="preserve">a). </w:t>
      </w:r>
      <w:r w:rsidR="00356DD1" w:rsidRPr="00693BB5">
        <w:rPr>
          <w:rFonts w:ascii="Verdana" w:eastAsia="Verdana" w:hAnsi="Verdana" w:cs="Verdana"/>
          <w:color w:val="000000" w:themeColor="text1"/>
          <w:sz w:val="20"/>
          <w:szCs w:val="20"/>
        </w:rPr>
        <w:t xml:space="preserve">Unos porcentajes </w:t>
      </w:r>
      <w:r w:rsidR="00DE68A5" w:rsidRPr="00693BB5">
        <w:rPr>
          <w:rFonts w:ascii="Verdana" w:eastAsia="Verdana" w:hAnsi="Verdana" w:cs="Verdana"/>
          <w:color w:val="000000" w:themeColor="text1"/>
          <w:sz w:val="20"/>
          <w:szCs w:val="20"/>
        </w:rPr>
        <w:t>que nos llevan a las siguien</w:t>
      </w:r>
      <w:r w:rsidR="00356DD1" w:rsidRPr="00693BB5">
        <w:rPr>
          <w:rFonts w:ascii="Verdana" w:eastAsia="Verdana" w:hAnsi="Verdana" w:cs="Verdana"/>
          <w:color w:val="000000" w:themeColor="text1"/>
          <w:sz w:val="20"/>
          <w:szCs w:val="20"/>
        </w:rPr>
        <w:t>tes cifras de negocio en cada uno de</w:t>
      </w:r>
      <w:r w:rsidR="00DE68A5" w:rsidRPr="00693BB5">
        <w:rPr>
          <w:rFonts w:ascii="Verdana" w:eastAsia="Verdana" w:hAnsi="Verdana" w:cs="Verdana"/>
          <w:color w:val="000000" w:themeColor="text1"/>
          <w:sz w:val="20"/>
          <w:szCs w:val="20"/>
        </w:rPr>
        <w:t xml:space="preserve"> </w:t>
      </w:r>
      <w:r w:rsidR="00356DD1" w:rsidRPr="00693BB5">
        <w:rPr>
          <w:rFonts w:ascii="Verdana" w:eastAsia="Verdana" w:hAnsi="Verdana" w:cs="Verdana"/>
          <w:color w:val="000000" w:themeColor="text1"/>
          <w:sz w:val="20"/>
          <w:szCs w:val="20"/>
        </w:rPr>
        <w:t>los subsector</w:t>
      </w:r>
      <w:r w:rsidR="00DE68A5" w:rsidRPr="00693BB5">
        <w:rPr>
          <w:rFonts w:ascii="Verdana" w:eastAsia="Verdana" w:hAnsi="Verdana" w:cs="Verdana"/>
          <w:color w:val="000000" w:themeColor="text1"/>
          <w:sz w:val="20"/>
          <w:szCs w:val="20"/>
        </w:rPr>
        <w:t>e</w:t>
      </w:r>
      <w:r w:rsidR="00356DD1" w:rsidRPr="00693BB5">
        <w:rPr>
          <w:rFonts w:ascii="Verdana" w:eastAsia="Verdana" w:hAnsi="Verdana" w:cs="Verdana"/>
          <w:color w:val="000000" w:themeColor="text1"/>
          <w:sz w:val="20"/>
          <w:szCs w:val="20"/>
        </w:rPr>
        <w:t>s</w:t>
      </w:r>
      <w:r w:rsidR="00771DB0" w:rsidRPr="00693BB5">
        <w:rPr>
          <w:rFonts w:ascii="Verdana" w:eastAsia="Verdana" w:hAnsi="Verdana" w:cs="Verdana"/>
          <w:color w:val="000000" w:themeColor="text1"/>
          <w:sz w:val="20"/>
          <w:szCs w:val="20"/>
        </w:rPr>
        <w:t xml:space="preserve"> (expresadas en millones de euros):</w:t>
      </w:r>
    </w:p>
    <w:p w:rsidR="00771DB0" w:rsidRPr="008008EA" w:rsidRDefault="00771DB0" w:rsidP="007970F9">
      <w:pPr>
        <w:pStyle w:val="NormalWeb"/>
        <w:kinsoku w:val="0"/>
        <w:overflowPunct w:val="0"/>
        <w:spacing w:before="0" w:beforeAutospacing="0" w:after="0" w:afterAutospacing="0"/>
        <w:jc w:val="both"/>
        <w:textAlignment w:val="baseline"/>
        <w:rPr>
          <w:rFonts w:ascii="Verdana" w:eastAsia="Verdana" w:hAnsi="Verdana" w:cs="Verdana"/>
          <w:color w:val="000000" w:themeColor="text1"/>
          <w:sz w:val="20"/>
          <w:szCs w:val="20"/>
        </w:rPr>
      </w:pPr>
    </w:p>
    <w:tbl>
      <w:tblPr>
        <w:tblStyle w:val="Tablaconcuadrcula"/>
        <w:tblW w:w="0" w:type="auto"/>
        <w:jc w:val="center"/>
        <w:tblLook w:val="04A0" w:firstRow="1" w:lastRow="0" w:firstColumn="1" w:lastColumn="0" w:noHBand="0" w:noVBand="1"/>
      </w:tblPr>
      <w:tblGrid>
        <w:gridCol w:w="5865"/>
        <w:gridCol w:w="1047"/>
        <w:gridCol w:w="1134"/>
      </w:tblGrid>
      <w:tr w:rsidR="00771DB0" w:rsidRPr="007970F9" w:rsidTr="00771DB0">
        <w:trPr>
          <w:jc w:val="center"/>
        </w:trPr>
        <w:tc>
          <w:tcPr>
            <w:tcW w:w="5865" w:type="dxa"/>
            <w:shd w:val="clear" w:color="auto" w:fill="FABF8F" w:themeFill="accent6" w:themeFillTint="99"/>
          </w:tcPr>
          <w:p w:rsidR="00771DB0" w:rsidRPr="007970F9" w:rsidRDefault="00771DB0" w:rsidP="007970F9">
            <w:pPr>
              <w:jc w:val="both"/>
              <w:rPr>
                <w:rFonts w:ascii="Verdana" w:hAnsi="Verdana"/>
                <w:b/>
                <w:color w:val="000000" w:themeColor="text1"/>
                <w:sz w:val="20"/>
                <w:szCs w:val="20"/>
              </w:rPr>
            </w:pPr>
            <w:r w:rsidRPr="007970F9">
              <w:rPr>
                <w:rFonts w:ascii="Verdana" w:hAnsi="Verdana"/>
                <w:b/>
                <w:color w:val="000000" w:themeColor="text1"/>
                <w:sz w:val="20"/>
                <w:szCs w:val="20"/>
              </w:rPr>
              <w:t xml:space="preserve">Subsectores </w:t>
            </w:r>
          </w:p>
        </w:tc>
        <w:tc>
          <w:tcPr>
            <w:tcW w:w="1047" w:type="dxa"/>
            <w:shd w:val="clear" w:color="auto" w:fill="FABF8F" w:themeFill="accent6" w:themeFillTint="99"/>
          </w:tcPr>
          <w:p w:rsidR="00771DB0" w:rsidRPr="007970F9" w:rsidRDefault="00771DB0" w:rsidP="007970F9">
            <w:pPr>
              <w:jc w:val="both"/>
              <w:rPr>
                <w:rFonts w:ascii="Verdana" w:hAnsi="Verdana"/>
                <w:b/>
                <w:color w:val="000000" w:themeColor="text1"/>
                <w:sz w:val="20"/>
                <w:szCs w:val="20"/>
              </w:rPr>
            </w:pPr>
            <w:r w:rsidRPr="007970F9">
              <w:rPr>
                <w:rFonts w:ascii="Verdana" w:hAnsi="Verdana"/>
                <w:b/>
                <w:color w:val="000000" w:themeColor="text1"/>
                <w:sz w:val="20"/>
                <w:szCs w:val="20"/>
              </w:rPr>
              <w:t>MM €</w:t>
            </w:r>
          </w:p>
        </w:tc>
        <w:tc>
          <w:tcPr>
            <w:tcW w:w="1134" w:type="dxa"/>
            <w:shd w:val="clear" w:color="auto" w:fill="FABF8F" w:themeFill="accent6" w:themeFillTint="99"/>
          </w:tcPr>
          <w:p w:rsidR="00771DB0" w:rsidRPr="007970F9" w:rsidRDefault="00771DB0" w:rsidP="00693BB5">
            <w:pPr>
              <w:jc w:val="center"/>
              <w:rPr>
                <w:rFonts w:ascii="Verdana" w:hAnsi="Verdana"/>
                <w:b/>
                <w:color w:val="000000" w:themeColor="text1"/>
                <w:sz w:val="20"/>
                <w:szCs w:val="20"/>
              </w:rPr>
            </w:pPr>
            <w:r w:rsidRPr="007970F9">
              <w:rPr>
                <w:rFonts w:ascii="Verdana" w:hAnsi="Verdana"/>
                <w:b/>
                <w:color w:val="000000" w:themeColor="text1"/>
                <w:sz w:val="20"/>
                <w:szCs w:val="20"/>
              </w:rPr>
              <w:t>%</w:t>
            </w:r>
          </w:p>
        </w:tc>
      </w:tr>
      <w:tr w:rsidR="00356DD1" w:rsidRPr="007970F9" w:rsidTr="00771DB0">
        <w:trPr>
          <w:jc w:val="center"/>
        </w:trPr>
        <w:tc>
          <w:tcPr>
            <w:tcW w:w="5865" w:type="dxa"/>
            <w:shd w:val="clear" w:color="auto" w:fill="C6D9F1" w:themeFill="text2" w:themeFillTint="33"/>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Comunicaciones fijas</w:t>
            </w:r>
          </w:p>
        </w:tc>
        <w:tc>
          <w:tcPr>
            <w:tcW w:w="1047" w:type="dxa"/>
            <w:shd w:val="clear" w:color="auto" w:fill="C6D9F1" w:themeFill="text2" w:themeFillTint="33"/>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8.279</w:t>
            </w:r>
          </w:p>
        </w:tc>
        <w:tc>
          <w:tcPr>
            <w:tcW w:w="1134" w:type="dxa"/>
            <w:shd w:val="clear" w:color="auto" w:fill="C6D9F1" w:themeFill="text2" w:themeFillTint="33"/>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-3,4%</w:t>
            </w:r>
          </w:p>
        </w:tc>
      </w:tr>
      <w:tr w:rsidR="00356DD1" w:rsidRPr="007970F9" w:rsidTr="00771DB0">
        <w:trPr>
          <w:jc w:val="center"/>
        </w:trPr>
        <w:tc>
          <w:tcPr>
            <w:tcW w:w="5865" w:type="dxa"/>
            <w:shd w:val="clear" w:color="auto" w:fill="FABF8F" w:themeFill="accent6" w:themeFillTint="99"/>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Comunicaciones móviles</w:t>
            </w:r>
          </w:p>
        </w:tc>
        <w:tc>
          <w:tcPr>
            <w:tcW w:w="1047" w:type="dxa"/>
            <w:shd w:val="clear" w:color="auto" w:fill="FABF8F" w:themeFill="accent6" w:themeFillTint="99"/>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9.206</w:t>
            </w:r>
          </w:p>
        </w:tc>
        <w:tc>
          <w:tcPr>
            <w:tcW w:w="1134" w:type="dxa"/>
            <w:shd w:val="clear" w:color="auto" w:fill="FABF8F" w:themeFill="accent6" w:themeFillTint="99"/>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-5,9%</w:t>
            </w:r>
          </w:p>
        </w:tc>
      </w:tr>
      <w:tr w:rsidR="00356DD1" w:rsidRPr="007970F9" w:rsidTr="00771DB0">
        <w:trPr>
          <w:jc w:val="center"/>
        </w:trPr>
        <w:tc>
          <w:tcPr>
            <w:tcW w:w="5865" w:type="dxa"/>
            <w:shd w:val="clear" w:color="auto" w:fill="C6D9F1" w:themeFill="text2" w:themeFillTint="33"/>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Servicios mayoristas</w:t>
            </w:r>
          </w:p>
        </w:tc>
        <w:tc>
          <w:tcPr>
            <w:tcW w:w="1047" w:type="dxa"/>
            <w:shd w:val="clear" w:color="auto" w:fill="C6D9F1" w:themeFill="text2" w:themeFillTint="33"/>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5.463</w:t>
            </w:r>
          </w:p>
        </w:tc>
        <w:tc>
          <w:tcPr>
            <w:tcW w:w="1134" w:type="dxa"/>
            <w:shd w:val="clear" w:color="auto" w:fill="C6D9F1" w:themeFill="text2" w:themeFillTint="33"/>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2,3%</w:t>
            </w:r>
          </w:p>
        </w:tc>
      </w:tr>
      <w:tr w:rsidR="00356DD1" w:rsidRPr="007970F9" w:rsidTr="00771DB0">
        <w:trPr>
          <w:jc w:val="center"/>
        </w:trPr>
        <w:tc>
          <w:tcPr>
            <w:tcW w:w="5865" w:type="dxa"/>
            <w:shd w:val="clear" w:color="auto" w:fill="FABF8F" w:themeFill="accent6" w:themeFillTint="99"/>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Otros ingresos sector Telecomunicaciones</w:t>
            </w:r>
          </w:p>
        </w:tc>
        <w:tc>
          <w:tcPr>
            <w:tcW w:w="1047" w:type="dxa"/>
            <w:shd w:val="clear" w:color="auto" w:fill="FABF8F" w:themeFill="accent6" w:themeFillTint="99"/>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3.650</w:t>
            </w:r>
          </w:p>
        </w:tc>
        <w:tc>
          <w:tcPr>
            <w:tcW w:w="1134" w:type="dxa"/>
            <w:shd w:val="clear" w:color="auto" w:fill="FABF8F" w:themeFill="accent6" w:themeFillTint="99"/>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7,1%</w:t>
            </w:r>
          </w:p>
        </w:tc>
      </w:tr>
      <w:tr w:rsidR="00356DD1" w:rsidRPr="007970F9" w:rsidTr="00771DB0">
        <w:trPr>
          <w:jc w:val="center"/>
        </w:trPr>
        <w:tc>
          <w:tcPr>
            <w:tcW w:w="5865" w:type="dxa"/>
            <w:shd w:val="clear" w:color="auto" w:fill="C6D9F1" w:themeFill="text2" w:themeFillTint="33"/>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Servicios audiovisuales</w:t>
            </w:r>
          </w:p>
        </w:tc>
        <w:tc>
          <w:tcPr>
            <w:tcW w:w="1047" w:type="dxa"/>
            <w:shd w:val="clear" w:color="auto" w:fill="C6D9F1" w:themeFill="text2" w:themeFillTint="33"/>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4.222</w:t>
            </w:r>
          </w:p>
        </w:tc>
        <w:tc>
          <w:tcPr>
            <w:tcW w:w="1134" w:type="dxa"/>
            <w:shd w:val="clear" w:color="auto" w:fill="C6D9F1" w:themeFill="text2" w:themeFillTint="33"/>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11,5%</w:t>
            </w:r>
          </w:p>
        </w:tc>
      </w:tr>
      <w:tr w:rsidR="00356DD1" w:rsidRPr="007970F9" w:rsidTr="00771DB0">
        <w:trPr>
          <w:jc w:val="center"/>
        </w:trPr>
        <w:tc>
          <w:tcPr>
            <w:tcW w:w="5865" w:type="dxa"/>
            <w:shd w:val="clear" w:color="auto" w:fill="FABF8F" w:themeFill="accent6" w:themeFillTint="99"/>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Contenidos digitales (excepto servicios audiovisuales)</w:t>
            </w:r>
          </w:p>
        </w:tc>
        <w:tc>
          <w:tcPr>
            <w:tcW w:w="1047" w:type="dxa"/>
            <w:shd w:val="clear" w:color="auto" w:fill="FABF8F" w:themeFill="accent6" w:themeFillTint="99"/>
          </w:tcPr>
          <w:p w:rsidR="00356DD1" w:rsidRPr="007970F9" w:rsidRDefault="005A5D07" w:rsidP="007970F9">
            <w:pPr>
              <w:jc w:val="both"/>
              <w:rPr>
                <w:rFonts w:ascii="Verdana" w:hAnsi="Verdana"/>
                <w:color w:val="000000" w:themeColor="text1"/>
                <w:sz w:val="20"/>
                <w:szCs w:val="20"/>
              </w:rPr>
            </w:pPr>
            <w:r w:rsidRPr="007970F9">
              <w:rPr>
                <w:rFonts w:ascii="Verdana" w:hAnsi="Verdana"/>
                <w:color w:val="000000" w:themeColor="text1"/>
                <w:sz w:val="20"/>
                <w:szCs w:val="20"/>
              </w:rPr>
              <w:t>19.731</w:t>
            </w:r>
          </w:p>
        </w:tc>
        <w:tc>
          <w:tcPr>
            <w:tcW w:w="1134" w:type="dxa"/>
            <w:shd w:val="clear" w:color="auto" w:fill="FABF8F" w:themeFill="accent6" w:themeFillTint="99"/>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13,3%</w:t>
            </w:r>
          </w:p>
        </w:tc>
      </w:tr>
      <w:tr w:rsidR="00356DD1" w:rsidRPr="007970F9" w:rsidTr="00771DB0">
        <w:trPr>
          <w:jc w:val="center"/>
        </w:trPr>
        <w:tc>
          <w:tcPr>
            <w:tcW w:w="5865" w:type="dxa"/>
            <w:shd w:val="clear" w:color="auto" w:fill="C6D9F1" w:themeFill="text2" w:themeFillTint="33"/>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Hardware</w:t>
            </w:r>
          </w:p>
        </w:tc>
        <w:tc>
          <w:tcPr>
            <w:tcW w:w="1047" w:type="dxa"/>
            <w:shd w:val="clear" w:color="auto" w:fill="C6D9F1" w:themeFill="text2" w:themeFillTint="33"/>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4.534</w:t>
            </w:r>
          </w:p>
        </w:tc>
        <w:tc>
          <w:tcPr>
            <w:tcW w:w="1134" w:type="dxa"/>
            <w:shd w:val="clear" w:color="auto" w:fill="C6D9F1" w:themeFill="text2" w:themeFillTint="33"/>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7,3%</w:t>
            </w:r>
          </w:p>
        </w:tc>
      </w:tr>
      <w:tr w:rsidR="00356DD1" w:rsidRPr="007970F9" w:rsidTr="00771DB0">
        <w:trPr>
          <w:jc w:val="center"/>
        </w:trPr>
        <w:tc>
          <w:tcPr>
            <w:tcW w:w="5865" w:type="dxa"/>
            <w:shd w:val="clear" w:color="auto" w:fill="FABF8F" w:themeFill="accent6" w:themeFillTint="99"/>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Software</w:t>
            </w:r>
          </w:p>
        </w:tc>
        <w:tc>
          <w:tcPr>
            <w:tcW w:w="1047" w:type="dxa"/>
            <w:shd w:val="clear" w:color="auto" w:fill="FABF8F" w:themeFill="accent6" w:themeFillTint="99"/>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2.992</w:t>
            </w:r>
          </w:p>
        </w:tc>
        <w:tc>
          <w:tcPr>
            <w:tcW w:w="1134" w:type="dxa"/>
            <w:shd w:val="clear" w:color="auto" w:fill="FABF8F" w:themeFill="accent6" w:themeFillTint="99"/>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3,4%</w:t>
            </w:r>
          </w:p>
        </w:tc>
      </w:tr>
      <w:tr w:rsidR="00356DD1" w:rsidRPr="007970F9" w:rsidTr="00771DB0">
        <w:trPr>
          <w:jc w:val="center"/>
        </w:trPr>
        <w:tc>
          <w:tcPr>
            <w:tcW w:w="5865" w:type="dxa"/>
            <w:shd w:val="clear" w:color="auto" w:fill="C6D9F1" w:themeFill="text2" w:themeFillTint="33"/>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Servicios Ti</w:t>
            </w:r>
          </w:p>
        </w:tc>
        <w:tc>
          <w:tcPr>
            <w:tcW w:w="1047" w:type="dxa"/>
            <w:shd w:val="clear" w:color="auto" w:fill="C6D9F1" w:themeFill="text2" w:themeFillTint="33"/>
          </w:tcPr>
          <w:p w:rsidR="00356DD1" w:rsidRPr="007970F9" w:rsidRDefault="005A5D07" w:rsidP="007970F9">
            <w:pPr>
              <w:jc w:val="both"/>
              <w:rPr>
                <w:rFonts w:ascii="Verdana" w:hAnsi="Verdana"/>
                <w:color w:val="000000" w:themeColor="text1"/>
                <w:sz w:val="20"/>
                <w:szCs w:val="20"/>
              </w:rPr>
            </w:pPr>
            <w:r w:rsidRPr="007970F9">
              <w:rPr>
                <w:rFonts w:ascii="Verdana" w:hAnsi="Verdana"/>
                <w:color w:val="000000" w:themeColor="text1"/>
                <w:sz w:val="20"/>
                <w:szCs w:val="20"/>
              </w:rPr>
              <w:t>15.168</w:t>
            </w:r>
          </w:p>
        </w:tc>
        <w:tc>
          <w:tcPr>
            <w:tcW w:w="1134" w:type="dxa"/>
            <w:shd w:val="clear" w:color="auto" w:fill="C6D9F1" w:themeFill="text2" w:themeFillTint="33"/>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7,6%</w:t>
            </w:r>
          </w:p>
        </w:tc>
      </w:tr>
      <w:tr w:rsidR="00356DD1" w:rsidRPr="007970F9" w:rsidTr="00771DB0">
        <w:trPr>
          <w:jc w:val="center"/>
        </w:trPr>
        <w:tc>
          <w:tcPr>
            <w:tcW w:w="5865" w:type="dxa"/>
            <w:shd w:val="clear" w:color="auto" w:fill="FABF8F" w:themeFill="accent6" w:themeFillTint="99"/>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Electrónica de consumo</w:t>
            </w:r>
          </w:p>
        </w:tc>
        <w:tc>
          <w:tcPr>
            <w:tcW w:w="1047" w:type="dxa"/>
            <w:shd w:val="clear" w:color="auto" w:fill="FABF8F" w:themeFill="accent6" w:themeFillTint="99"/>
          </w:tcPr>
          <w:p w:rsidR="00356DD1" w:rsidRPr="007970F9" w:rsidRDefault="00CB1AA2" w:rsidP="007970F9">
            <w:pPr>
              <w:jc w:val="both"/>
              <w:rPr>
                <w:rFonts w:ascii="Verdana" w:hAnsi="Verdana"/>
                <w:color w:val="000000" w:themeColor="text1"/>
                <w:sz w:val="20"/>
                <w:szCs w:val="20"/>
              </w:rPr>
            </w:pPr>
            <w:r>
              <w:rPr>
                <w:rFonts w:ascii="Verdana" w:hAnsi="Verdana"/>
                <w:color w:val="000000" w:themeColor="text1"/>
                <w:sz w:val="20"/>
                <w:szCs w:val="20"/>
              </w:rPr>
              <w:t xml:space="preserve"> </w:t>
            </w:r>
            <w:r w:rsidR="005A5D07" w:rsidRPr="007970F9">
              <w:rPr>
                <w:rFonts w:ascii="Verdana" w:hAnsi="Verdana"/>
                <w:color w:val="000000" w:themeColor="text1"/>
                <w:sz w:val="20"/>
                <w:szCs w:val="20"/>
              </w:rPr>
              <w:t>1.802</w:t>
            </w:r>
          </w:p>
        </w:tc>
        <w:tc>
          <w:tcPr>
            <w:tcW w:w="1134" w:type="dxa"/>
            <w:shd w:val="clear" w:color="auto" w:fill="FABF8F" w:themeFill="accent6" w:themeFillTint="99"/>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-3,4%</w:t>
            </w:r>
          </w:p>
        </w:tc>
      </w:tr>
      <w:tr w:rsidR="00356DD1" w:rsidRPr="007970F9" w:rsidTr="00771DB0">
        <w:trPr>
          <w:jc w:val="center"/>
        </w:trPr>
        <w:tc>
          <w:tcPr>
            <w:tcW w:w="5865" w:type="dxa"/>
            <w:shd w:val="clear" w:color="auto" w:fill="C6D9F1" w:themeFill="text2" w:themeFillTint="33"/>
          </w:tcPr>
          <w:p w:rsidR="00356DD1" w:rsidRPr="007970F9" w:rsidRDefault="00356DD1" w:rsidP="007970F9">
            <w:pPr>
              <w:jc w:val="both"/>
              <w:rPr>
                <w:rFonts w:ascii="Verdana" w:hAnsi="Verdana"/>
                <w:color w:val="000000" w:themeColor="text1"/>
                <w:sz w:val="20"/>
                <w:szCs w:val="20"/>
              </w:rPr>
            </w:pPr>
            <w:r w:rsidRPr="007970F9">
              <w:rPr>
                <w:rFonts w:ascii="Verdana" w:hAnsi="Verdana"/>
                <w:color w:val="000000" w:themeColor="text1"/>
                <w:sz w:val="20"/>
                <w:szCs w:val="20"/>
              </w:rPr>
              <w:t>Industria electrónica</w:t>
            </w:r>
          </w:p>
        </w:tc>
        <w:tc>
          <w:tcPr>
            <w:tcW w:w="1047" w:type="dxa"/>
            <w:shd w:val="clear" w:color="auto" w:fill="C6D9F1" w:themeFill="text2" w:themeFillTint="33"/>
          </w:tcPr>
          <w:p w:rsidR="00356DD1" w:rsidRPr="007970F9" w:rsidRDefault="005A5D07" w:rsidP="007970F9">
            <w:pPr>
              <w:jc w:val="both"/>
              <w:rPr>
                <w:rFonts w:ascii="Verdana" w:hAnsi="Verdana"/>
                <w:color w:val="000000" w:themeColor="text1"/>
                <w:sz w:val="20"/>
                <w:szCs w:val="20"/>
              </w:rPr>
            </w:pPr>
            <w:r w:rsidRPr="007970F9">
              <w:rPr>
                <w:rFonts w:ascii="Verdana" w:hAnsi="Verdana"/>
                <w:color w:val="000000" w:themeColor="text1"/>
                <w:sz w:val="20"/>
                <w:szCs w:val="20"/>
              </w:rPr>
              <w:t>14.962</w:t>
            </w:r>
          </w:p>
        </w:tc>
        <w:tc>
          <w:tcPr>
            <w:tcW w:w="1134" w:type="dxa"/>
            <w:shd w:val="clear" w:color="auto" w:fill="C6D9F1" w:themeFill="text2" w:themeFillTint="33"/>
          </w:tcPr>
          <w:p w:rsidR="00356DD1" w:rsidRPr="007970F9" w:rsidRDefault="005A5D07" w:rsidP="00693BB5">
            <w:pPr>
              <w:jc w:val="center"/>
              <w:rPr>
                <w:rFonts w:ascii="Verdana" w:hAnsi="Verdana"/>
                <w:color w:val="000000" w:themeColor="text1"/>
                <w:sz w:val="20"/>
                <w:szCs w:val="20"/>
              </w:rPr>
            </w:pPr>
            <w:r w:rsidRPr="007970F9">
              <w:rPr>
                <w:rFonts w:ascii="Verdana" w:hAnsi="Verdana"/>
                <w:color w:val="000000" w:themeColor="text1"/>
                <w:sz w:val="20"/>
                <w:szCs w:val="20"/>
              </w:rPr>
              <w:t>3,2%</w:t>
            </w:r>
          </w:p>
        </w:tc>
      </w:tr>
      <w:tr w:rsidR="005A5D07" w:rsidRPr="007970F9" w:rsidTr="00771DB0">
        <w:trPr>
          <w:jc w:val="center"/>
        </w:trPr>
        <w:tc>
          <w:tcPr>
            <w:tcW w:w="5865" w:type="dxa"/>
            <w:shd w:val="clear" w:color="auto" w:fill="FABF8F" w:themeFill="accent6" w:themeFillTint="99"/>
          </w:tcPr>
          <w:p w:rsidR="005A5D07" w:rsidRPr="007970F9" w:rsidRDefault="005A5D07" w:rsidP="007970F9">
            <w:pPr>
              <w:jc w:val="both"/>
              <w:rPr>
                <w:rFonts w:ascii="Verdana" w:hAnsi="Verdana"/>
                <w:b/>
                <w:color w:val="000000" w:themeColor="text1"/>
                <w:sz w:val="20"/>
                <w:szCs w:val="20"/>
              </w:rPr>
            </w:pPr>
            <w:r w:rsidRPr="007970F9">
              <w:rPr>
                <w:rFonts w:ascii="Verdana" w:hAnsi="Verdana"/>
                <w:b/>
                <w:color w:val="000000" w:themeColor="text1"/>
                <w:sz w:val="20"/>
                <w:szCs w:val="20"/>
              </w:rPr>
              <w:t xml:space="preserve">Total </w:t>
            </w:r>
            <w:r w:rsidR="00B02AEA">
              <w:rPr>
                <w:rFonts w:ascii="Verdana" w:hAnsi="Verdana"/>
                <w:b/>
                <w:color w:val="000000" w:themeColor="text1"/>
                <w:sz w:val="20"/>
                <w:szCs w:val="20"/>
              </w:rPr>
              <w:t>h</w:t>
            </w:r>
            <w:r w:rsidRPr="007970F9">
              <w:rPr>
                <w:rFonts w:ascii="Verdana" w:hAnsi="Verdana"/>
                <w:b/>
                <w:color w:val="000000" w:themeColor="text1"/>
                <w:sz w:val="20"/>
                <w:szCs w:val="20"/>
              </w:rPr>
              <w:t>ipersector</w:t>
            </w:r>
          </w:p>
        </w:tc>
        <w:tc>
          <w:tcPr>
            <w:tcW w:w="1047" w:type="dxa"/>
            <w:shd w:val="clear" w:color="auto" w:fill="FABF8F" w:themeFill="accent6" w:themeFillTint="99"/>
          </w:tcPr>
          <w:p w:rsidR="005A5D07" w:rsidRPr="007970F9" w:rsidRDefault="005A5D07" w:rsidP="007970F9">
            <w:pPr>
              <w:jc w:val="both"/>
              <w:rPr>
                <w:rFonts w:ascii="Verdana" w:hAnsi="Verdana"/>
                <w:b/>
                <w:color w:val="000000" w:themeColor="text1"/>
                <w:sz w:val="20"/>
                <w:szCs w:val="20"/>
              </w:rPr>
            </w:pPr>
            <w:r w:rsidRPr="007970F9">
              <w:rPr>
                <w:rFonts w:ascii="Verdana" w:hAnsi="Verdana"/>
                <w:b/>
                <w:color w:val="000000" w:themeColor="text1"/>
                <w:sz w:val="20"/>
                <w:szCs w:val="20"/>
              </w:rPr>
              <w:t>90.010</w:t>
            </w:r>
          </w:p>
        </w:tc>
        <w:tc>
          <w:tcPr>
            <w:tcW w:w="1134" w:type="dxa"/>
            <w:shd w:val="clear" w:color="auto" w:fill="FABF8F" w:themeFill="accent6" w:themeFillTint="99"/>
          </w:tcPr>
          <w:p w:rsidR="005A5D07" w:rsidRPr="007970F9" w:rsidRDefault="005A5D07" w:rsidP="00693BB5">
            <w:pPr>
              <w:jc w:val="center"/>
              <w:rPr>
                <w:rFonts w:ascii="Verdana" w:hAnsi="Verdana"/>
                <w:b/>
                <w:color w:val="000000" w:themeColor="text1"/>
                <w:sz w:val="20"/>
                <w:szCs w:val="20"/>
              </w:rPr>
            </w:pPr>
            <w:r w:rsidRPr="007970F9">
              <w:rPr>
                <w:rFonts w:ascii="Verdana" w:hAnsi="Verdana"/>
                <w:b/>
                <w:color w:val="000000" w:themeColor="text1"/>
                <w:sz w:val="20"/>
                <w:szCs w:val="20"/>
              </w:rPr>
              <w:t>4,8 %</w:t>
            </w:r>
          </w:p>
        </w:tc>
      </w:tr>
    </w:tbl>
    <w:p w:rsidR="00356DD1" w:rsidRDefault="00356DD1" w:rsidP="007970F9">
      <w:pPr>
        <w:jc w:val="both"/>
        <w:rPr>
          <w:rFonts w:ascii="Verdana" w:hAnsi="Verdana"/>
          <w:color w:val="000000" w:themeColor="text1"/>
          <w:sz w:val="20"/>
          <w:szCs w:val="20"/>
        </w:rPr>
      </w:pPr>
    </w:p>
    <w:p w:rsidR="00693BB5" w:rsidRPr="00693BB5" w:rsidRDefault="00693BB5" w:rsidP="007970F9">
      <w:pPr>
        <w:jc w:val="both"/>
        <w:rPr>
          <w:rFonts w:ascii="Verdana" w:hAnsi="Verdana"/>
          <w:color w:val="000000" w:themeColor="text1"/>
          <w:sz w:val="20"/>
          <w:szCs w:val="20"/>
        </w:rPr>
      </w:pPr>
    </w:p>
    <w:p w:rsidR="004A28A8" w:rsidRPr="00693BB5" w:rsidRDefault="00771DB0" w:rsidP="00DE68A5">
      <w:pPr>
        <w:jc w:val="both"/>
        <w:rPr>
          <w:rFonts w:ascii="Verdana" w:eastAsia="Verdana" w:hAnsi="Verdana" w:cs="Verdana"/>
          <w:kern w:val="24"/>
          <w:sz w:val="20"/>
          <w:szCs w:val="20"/>
        </w:rPr>
      </w:pPr>
      <w:r w:rsidRPr="00693BB5">
        <w:rPr>
          <w:rFonts w:ascii="Verdana" w:hAnsi="Verdana"/>
          <w:noProof/>
          <w:sz w:val="20"/>
          <w:szCs w:val="20"/>
        </w:rPr>
        <w:t>Si agrupamos todos estos subsectores en cinco grandes grup</w:t>
      </w:r>
      <w:r w:rsidR="00DE68A5" w:rsidRPr="00693BB5">
        <w:rPr>
          <w:rFonts w:ascii="Verdana" w:hAnsi="Verdana"/>
          <w:noProof/>
          <w:sz w:val="20"/>
          <w:szCs w:val="20"/>
        </w:rPr>
        <w:t>os</w:t>
      </w:r>
      <w:r w:rsidRPr="00693BB5">
        <w:rPr>
          <w:rFonts w:ascii="Verdana" w:hAnsi="Verdana"/>
          <w:noProof/>
          <w:sz w:val="20"/>
          <w:szCs w:val="20"/>
        </w:rPr>
        <w:t xml:space="preserve">, tendriamos que los </w:t>
      </w:r>
      <w:r w:rsidR="00B02AEA" w:rsidRPr="00693BB5">
        <w:rPr>
          <w:rFonts w:ascii="Verdana" w:hAnsi="Verdana"/>
          <w:b/>
          <w:noProof/>
          <w:sz w:val="20"/>
          <w:szCs w:val="20"/>
        </w:rPr>
        <w:t>Servicios de telecomunicaciones</w:t>
      </w:r>
      <w:r w:rsidR="00B02AEA" w:rsidRPr="00693BB5">
        <w:rPr>
          <w:rFonts w:ascii="Verdana" w:hAnsi="Verdana"/>
          <w:noProof/>
          <w:sz w:val="20"/>
          <w:szCs w:val="20"/>
        </w:rPr>
        <w:t xml:space="preserve"> </w:t>
      </w:r>
      <w:r w:rsidR="004A28A8" w:rsidRPr="00693BB5">
        <w:rPr>
          <w:rFonts w:ascii="Verdana" w:hAnsi="Verdana"/>
          <w:noProof/>
          <w:sz w:val="20"/>
          <w:szCs w:val="20"/>
        </w:rPr>
        <w:t xml:space="preserve">han alcanzado un volumen de negocio de 30.821 millones de euros, lo que supone el 34,5% </w:t>
      </w:r>
      <w:r w:rsidR="00B02AEA" w:rsidRPr="00693BB5">
        <w:rPr>
          <w:rFonts w:ascii="Verdana" w:hAnsi="Verdana"/>
          <w:noProof/>
          <w:sz w:val="20"/>
          <w:szCs w:val="20"/>
        </w:rPr>
        <w:t>de la facturación conjunta del h</w:t>
      </w:r>
      <w:r w:rsidR="004A28A8" w:rsidRPr="00693BB5">
        <w:rPr>
          <w:rFonts w:ascii="Verdana" w:hAnsi="Verdana"/>
          <w:noProof/>
          <w:sz w:val="20"/>
          <w:szCs w:val="20"/>
        </w:rPr>
        <w:t xml:space="preserve">ipersector. </w:t>
      </w:r>
      <w:r w:rsidR="008008EA" w:rsidRPr="00693BB5">
        <w:rPr>
          <w:rFonts w:ascii="Verdana" w:hAnsi="Verdana"/>
          <w:noProof/>
          <w:sz w:val="20"/>
          <w:szCs w:val="20"/>
        </w:rPr>
        <w:t>T</w:t>
      </w:r>
      <w:r w:rsidR="00693BB5" w:rsidRPr="00693BB5">
        <w:rPr>
          <w:rFonts w:ascii="Verdana" w:hAnsi="Verdana"/>
          <w:noProof/>
          <w:sz w:val="20"/>
          <w:szCs w:val="20"/>
        </w:rPr>
        <w:t xml:space="preserve">ras años de severa contracción, </w:t>
      </w:r>
      <w:r w:rsidR="008008EA" w:rsidRPr="00693BB5">
        <w:rPr>
          <w:rFonts w:ascii="Verdana" w:hAnsi="Verdana"/>
          <w:noProof/>
          <w:sz w:val="20"/>
          <w:szCs w:val="20"/>
        </w:rPr>
        <w:t xml:space="preserve">las telecomunicaciones en España parecen </w:t>
      </w:r>
      <w:r w:rsidR="008008EA" w:rsidRPr="00693BB5">
        <w:rPr>
          <w:rFonts w:ascii="Verdana" w:eastAsia="Verdana" w:hAnsi="Verdana" w:cs="Verdana"/>
          <w:kern w:val="24"/>
          <w:sz w:val="20"/>
          <w:szCs w:val="20"/>
        </w:rPr>
        <w:t xml:space="preserve">estabilizarse en datos similares a los de 2014 dado que </w:t>
      </w:r>
      <w:r w:rsidR="004A28A8" w:rsidRPr="00693BB5">
        <w:rPr>
          <w:rFonts w:ascii="Verdana" w:eastAsia="Verdana" w:hAnsi="Verdana" w:cs="Verdana"/>
          <w:kern w:val="24"/>
          <w:sz w:val="20"/>
          <w:szCs w:val="20"/>
        </w:rPr>
        <w:t>la caída en servicios minoristas tanto fijos (-3,4%) como móviles</w:t>
      </w:r>
      <w:r w:rsidR="00B02AEA" w:rsidRPr="00693BB5">
        <w:rPr>
          <w:rFonts w:ascii="Verdana" w:eastAsia="Verdana" w:hAnsi="Verdana" w:cs="Verdana"/>
          <w:kern w:val="24"/>
          <w:sz w:val="20"/>
          <w:szCs w:val="20"/>
        </w:rPr>
        <w:t xml:space="preserve"> </w:t>
      </w:r>
      <w:r w:rsidR="004A28A8" w:rsidRPr="00693BB5">
        <w:rPr>
          <w:rFonts w:ascii="Verdana" w:eastAsia="Verdana" w:hAnsi="Verdana" w:cs="Verdana"/>
          <w:kern w:val="24"/>
          <w:sz w:val="20"/>
          <w:szCs w:val="20"/>
        </w:rPr>
        <w:t xml:space="preserve">(-5,9%) </w:t>
      </w:r>
      <w:r w:rsidR="008008EA" w:rsidRPr="00693BB5">
        <w:rPr>
          <w:rFonts w:ascii="Verdana" w:eastAsia="Verdana" w:hAnsi="Verdana" w:cs="Verdana"/>
          <w:kern w:val="24"/>
          <w:sz w:val="20"/>
          <w:szCs w:val="20"/>
        </w:rPr>
        <w:t xml:space="preserve">se compensa por </w:t>
      </w:r>
      <w:r w:rsidR="004A28A8" w:rsidRPr="00693BB5">
        <w:rPr>
          <w:rFonts w:ascii="Verdana" w:eastAsia="Verdana" w:hAnsi="Verdana" w:cs="Verdana"/>
          <w:kern w:val="24"/>
          <w:sz w:val="20"/>
          <w:szCs w:val="20"/>
        </w:rPr>
        <w:t xml:space="preserve">el impulso de </w:t>
      </w:r>
      <w:r w:rsidR="008008EA" w:rsidRPr="00693BB5">
        <w:rPr>
          <w:rFonts w:ascii="Verdana" w:eastAsia="Verdana" w:hAnsi="Verdana" w:cs="Verdana"/>
          <w:kern w:val="24"/>
          <w:sz w:val="20"/>
          <w:szCs w:val="20"/>
        </w:rPr>
        <w:t xml:space="preserve">los </w:t>
      </w:r>
      <w:r w:rsidR="004A28A8" w:rsidRPr="00693BB5">
        <w:rPr>
          <w:rFonts w:ascii="Verdana" w:eastAsia="Verdana" w:hAnsi="Verdana" w:cs="Verdana"/>
          <w:kern w:val="24"/>
          <w:sz w:val="20"/>
          <w:szCs w:val="20"/>
        </w:rPr>
        <w:t xml:space="preserve">servicios audiovisuales </w:t>
      </w:r>
      <w:r w:rsidR="008008EA" w:rsidRPr="00693BB5">
        <w:rPr>
          <w:rFonts w:ascii="Verdana" w:eastAsia="Verdana" w:hAnsi="Verdana" w:cs="Verdana"/>
          <w:kern w:val="24"/>
          <w:sz w:val="20"/>
          <w:szCs w:val="20"/>
        </w:rPr>
        <w:t xml:space="preserve">prestados por las operadoras </w:t>
      </w:r>
      <w:r w:rsidR="004A28A8" w:rsidRPr="00693BB5">
        <w:rPr>
          <w:rFonts w:ascii="Verdana" w:eastAsia="Verdana" w:hAnsi="Verdana" w:cs="Verdana"/>
          <w:kern w:val="24"/>
          <w:sz w:val="20"/>
          <w:szCs w:val="20"/>
        </w:rPr>
        <w:t>(</w:t>
      </w:r>
      <w:r w:rsidR="008008EA" w:rsidRPr="00693BB5">
        <w:rPr>
          <w:rFonts w:ascii="Verdana" w:eastAsia="Verdana" w:hAnsi="Verdana" w:cs="Verdana"/>
          <w:kern w:val="24"/>
          <w:sz w:val="20"/>
          <w:szCs w:val="20"/>
        </w:rPr>
        <w:t>+</w:t>
      </w:r>
      <w:r w:rsidR="004A28A8" w:rsidRPr="00693BB5">
        <w:rPr>
          <w:rFonts w:ascii="Verdana" w:eastAsia="Verdana" w:hAnsi="Verdana" w:cs="Verdana"/>
          <w:kern w:val="24"/>
          <w:sz w:val="20"/>
          <w:szCs w:val="20"/>
        </w:rPr>
        <w:t xml:space="preserve">11,5%) y </w:t>
      </w:r>
      <w:r w:rsidR="008008EA" w:rsidRPr="00693BB5">
        <w:rPr>
          <w:rFonts w:ascii="Verdana" w:eastAsia="Verdana" w:hAnsi="Verdana" w:cs="Verdana"/>
          <w:kern w:val="24"/>
          <w:sz w:val="20"/>
          <w:szCs w:val="20"/>
        </w:rPr>
        <w:t xml:space="preserve">el incremento de sus servicios </w:t>
      </w:r>
      <w:r w:rsidR="004A28A8" w:rsidRPr="00693BB5">
        <w:rPr>
          <w:rFonts w:ascii="Verdana" w:eastAsia="Verdana" w:hAnsi="Verdana" w:cs="Verdana"/>
          <w:kern w:val="24"/>
          <w:sz w:val="20"/>
          <w:szCs w:val="20"/>
        </w:rPr>
        <w:t>mayoristas (</w:t>
      </w:r>
      <w:r w:rsidR="008008EA" w:rsidRPr="00693BB5">
        <w:rPr>
          <w:rFonts w:ascii="Verdana" w:eastAsia="Verdana" w:hAnsi="Verdana" w:cs="Verdana"/>
          <w:kern w:val="24"/>
          <w:sz w:val="20"/>
          <w:szCs w:val="20"/>
        </w:rPr>
        <w:t>+</w:t>
      </w:r>
      <w:r w:rsidR="004A28A8" w:rsidRPr="00693BB5">
        <w:rPr>
          <w:rFonts w:ascii="Verdana" w:eastAsia="Verdana" w:hAnsi="Verdana" w:cs="Verdana"/>
          <w:kern w:val="24"/>
          <w:sz w:val="20"/>
          <w:szCs w:val="20"/>
        </w:rPr>
        <w:t>2,3%)</w:t>
      </w:r>
      <w:r w:rsidR="00B02AEA" w:rsidRPr="00693BB5">
        <w:rPr>
          <w:rFonts w:ascii="Verdana" w:eastAsia="Verdana" w:hAnsi="Verdana" w:cs="Verdana"/>
          <w:kern w:val="24"/>
          <w:sz w:val="20"/>
          <w:szCs w:val="20"/>
        </w:rPr>
        <w:t>.</w:t>
      </w:r>
      <w:r w:rsidR="008008EA" w:rsidRPr="00693BB5">
        <w:rPr>
          <w:rFonts w:ascii="Verdana" w:eastAsia="Verdana" w:hAnsi="Verdana" w:cs="Verdana"/>
          <w:kern w:val="24"/>
          <w:sz w:val="20"/>
          <w:szCs w:val="20"/>
        </w:rPr>
        <w:t xml:space="preserve"> </w:t>
      </w:r>
    </w:p>
    <w:p w:rsidR="00771DB0" w:rsidRPr="00693BB5" w:rsidRDefault="00771DB0" w:rsidP="00DE68A5">
      <w:pPr>
        <w:jc w:val="both"/>
        <w:rPr>
          <w:rFonts w:ascii="Verdana" w:hAnsi="Verdana"/>
          <w:b/>
          <w:noProof/>
          <w:sz w:val="20"/>
          <w:szCs w:val="20"/>
        </w:rPr>
      </w:pPr>
    </w:p>
    <w:p w:rsidR="004A28A8" w:rsidRPr="00693BB5" w:rsidRDefault="004A28A8" w:rsidP="00DE68A5">
      <w:pPr>
        <w:jc w:val="both"/>
        <w:rPr>
          <w:rFonts w:ascii="Verdana" w:hAnsi="Verdana"/>
          <w:sz w:val="20"/>
          <w:szCs w:val="20"/>
        </w:rPr>
      </w:pPr>
      <w:r w:rsidRPr="00693BB5">
        <w:rPr>
          <w:rFonts w:ascii="Verdana" w:hAnsi="Verdana"/>
          <w:noProof/>
          <w:sz w:val="20"/>
          <w:szCs w:val="20"/>
        </w:rPr>
        <w:t>Los</w:t>
      </w:r>
      <w:r w:rsidRPr="00693BB5">
        <w:rPr>
          <w:rFonts w:ascii="Verdana" w:hAnsi="Verdana"/>
          <w:b/>
          <w:noProof/>
          <w:sz w:val="20"/>
          <w:szCs w:val="20"/>
        </w:rPr>
        <w:t xml:space="preserve"> Contenidos digitales</w:t>
      </w:r>
      <w:r w:rsidRPr="00693BB5">
        <w:rPr>
          <w:rFonts w:ascii="Verdana" w:hAnsi="Verdana"/>
          <w:noProof/>
          <w:sz w:val="20"/>
          <w:szCs w:val="20"/>
        </w:rPr>
        <w:t xml:space="preserve"> </w:t>
      </w:r>
      <w:r w:rsidR="008008EA" w:rsidRPr="00693BB5">
        <w:rPr>
          <w:rFonts w:ascii="Verdana" w:hAnsi="Verdana"/>
          <w:noProof/>
          <w:sz w:val="20"/>
          <w:szCs w:val="20"/>
        </w:rPr>
        <w:t>suman</w:t>
      </w:r>
      <w:r w:rsidRPr="00693BB5">
        <w:rPr>
          <w:rFonts w:ascii="Verdana" w:hAnsi="Verdana"/>
          <w:noProof/>
          <w:sz w:val="20"/>
          <w:szCs w:val="20"/>
        </w:rPr>
        <w:t xml:space="preserve"> </w:t>
      </w:r>
      <w:r w:rsidR="008008EA" w:rsidRPr="00693BB5">
        <w:rPr>
          <w:rFonts w:ascii="Verdana" w:hAnsi="Verdana"/>
          <w:noProof/>
          <w:sz w:val="20"/>
          <w:szCs w:val="20"/>
        </w:rPr>
        <w:t>19.731</w:t>
      </w:r>
      <w:r w:rsidRPr="00693BB5">
        <w:rPr>
          <w:rFonts w:ascii="Verdana" w:hAnsi="Verdana"/>
          <w:noProof/>
          <w:sz w:val="20"/>
          <w:szCs w:val="20"/>
        </w:rPr>
        <w:t xml:space="preserve"> m</w:t>
      </w:r>
      <w:r w:rsidR="008008EA" w:rsidRPr="00693BB5">
        <w:rPr>
          <w:rFonts w:ascii="Verdana" w:hAnsi="Verdana"/>
          <w:noProof/>
          <w:sz w:val="20"/>
          <w:szCs w:val="20"/>
        </w:rPr>
        <w:t xml:space="preserve">illones de euros de facturación que </w:t>
      </w:r>
      <w:r w:rsidR="00956477" w:rsidRPr="00693BB5">
        <w:rPr>
          <w:rFonts w:ascii="Verdana" w:hAnsi="Verdana"/>
          <w:noProof/>
          <w:sz w:val="20"/>
          <w:szCs w:val="20"/>
        </w:rPr>
        <w:t>representan</w:t>
      </w:r>
      <w:r w:rsidRPr="00693BB5">
        <w:rPr>
          <w:rFonts w:ascii="Verdana" w:hAnsi="Verdana"/>
          <w:noProof/>
          <w:sz w:val="20"/>
          <w:szCs w:val="20"/>
        </w:rPr>
        <w:t xml:space="preserve"> el 2</w:t>
      </w:r>
      <w:r w:rsidR="008008EA" w:rsidRPr="00693BB5">
        <w:rPr>
          <w:rFonts w:ascii="Verdana" w:hAnsi="Verdana"/>
          <w:noProof/>
          <w:sz w:val="20"/>
          <w:szCs w:val="20"/>
        </w:rPr>
        <w:t xml:space="preserve">1,8 </w:t>
      </w:r>
      <w:r w:rsidRPr="00693BB5">
        <w:rPr>
          <w:rFonts w:ascii="Verdana" w:hAnsi="Verdana"/>
          <w:noProof/>
          <w:sz w:val="20"/>
          <w:szCs w:val="20"/>
        </w:rPr>
        <w:t>% de</w:t>
      </w:r>
      <w:r w:rsidR="00B02AEA" w:rsidRPr="00693BB5">
        <w:rPr>
          <w:rFonts w:ascii="Verdana" w:hAnsi="Verdana"/>
          <w:noProof/>
          <w:sz w:val="20"/>
          <w:szCs w:val="20"/>
        </w:rPr>
        <w:t xml:space="preserve"> </w:t>
      </w:r>
      <w:r w:rsidRPr="00693BB5">
        <w:rPr>
          <w:rFonts w:ascii="Verdana" w:hAnsi="Verdana"/>
          <w:noProof/>
          <w:sz w:val="20"/>
          <w:szCs w:val="20"/>
        </w:rPr>
        <w:t xml:space="preserve">la tarta, </w:t>
      </w:r>
      <w:r w:rsidRPr="00693BB5">
        <w:rPr>
          <w:rFonts w:ascii="Verdana" w:eastAsia="Verdana" w:hAnsi="Verdana" w:cs="Verdana"/>
          <w:iCs/>
          <w:kern w:val="24"/>
          <w:sz w:val="20"/>
          <w:szCs w:val="20"/>
        </w:rPr>
        <w:t xml:space="preserve">con un comportamiento </w:t>
      </w:r>
      <w:r w:rsidR="008008EA" w:rsidRPr="00693BB5">
        <w:rPr>
          <w:rFonts w:ascii="Verdana" w:eastAsia="Verdana" w:hAnsi="Verdana" w:cs="Verdana"/>
          <w:iCs/>
          <w:kern w:val="24"/>
          <w:sz w:val="20"/>
          <w:szCs w:val="20"/>
        </w:rPr>
        <w:t xml:space="preserve">que les sigue otorgando el papel de </w:t>
      </w:r>
      <w:r w:rsidRPr="00693BB5">
        <w:rPr>
          <w:rFonts w:ascii="Verdana" w:eastAsia="Verdana" w:hAnsi="Verdana" w:cs="Verdana"/>
          <w:kern w:val="24"/>
          <w:sz w:val="20"/>
          <w:szCs w:val="20"/>
        </w:rPr>
        <w:t>dinamizador</w:t>
      </w:r>
      <w:r w:rsidR="008008EA" w:rsidRPr="00693BB5">
        <w:rPr>
          <w:rFonts w:ascii="Verdana" w:eastAsia="Verdana" w:hAnsi="Verdana" w:cs="Verdana"/>
          <w:kern w:val="24"/>
          <w:sz w:val="20"/>
          <w:szCs w:val="20"/>
        </w:rPr>
        <w:t>es del mercado</w:t>
      </w:r>
      <w:r w:rsidRPr="00693BB5">
        <w:rPr>
          <w:rFonts w:ascii="Verdana" w:eastAsia="Verdana" w:hAnsi="Verdana" w:cs="Verdana"/>
          <w:kern w:val="24"/>
          <w:sz w:val="20"/>
          <w:szCs w:val="20"/>
        </w:rPr>
        <w:t xml:space="preserve"> (</w:t>
      </w:r>
      <w:r w:rsidR="008008EA" w:rsidRPr="00693BB5">
        <w:rPr>
          <w:rFonts w:ascii="Verdana" w:eastAsia="Verdana" w:hAnsi="Verdana" w:cs="Verdana"/>
          <w:kern w:val="24"/>
          <w:sz w:val="20"/>
          <w:szCs w:val="20"/>
        </w:rPr>
        <w:t>+</w:t>
      </w:r>
      <w:r w:rsidRPr="00693BB5">
        <w:rPr>
          <w:rFonts w:ascii="Verdana" w:eastAsia="Verdana" w:hAnsi="Verdana" w:cs="Verdana"/>
          <w:kern w:val="24"/>
          <w:sz w:val="20"/>
          <w:szCs w:val="20"/>
        </w:rPr>
        <w:t>13,0%) con perspectiva de desarrollo continuado a ritmo de doble digito.</w:t>
      </w:r>
      <w:r w:rsidR="008008EA" w:rsidRPr="00693BB5">
        <w:rPr>
          <w:rFonts w:ascii="Verdana" w:eastAsia="Verdana" w:hAnsi="Verdana" w:cs="Verdana"/>
          <w:kern w:val="24"/>
          <w:sz w:val="20"/>
          <w:szCs w:val="20"/>
        </w:rPr>
        <w:t xml:space="preserve"> Estos contenidos digitales suman 23.953 millones de euros si consideramos los servicios audiovisuales prestados por los operadores</w:t>
      </w:r>
      <w:r w:rsidR="006B6C1B" w:rsidRPr="00693BB5">
        <w:rPr>
          <w:rFonts w:ascii="Verdana" w:eastAsia="Verdana" w:hAnsi="Verdana" w:cs="Verdana"/>
          <w:kern w:val="24"/>
          <w:sz w:val="20"/>
          <w:szCs w:val="20"/>
        </w:rPr>
        <w:t>, que ya hemos considerado en el grupo anterior, pero que conceptualmente también podr</w:t>
      </w:r>
      <w:r w:rsidR="00945F6C">
        <w:rPr>
          <w:rFonts w:ascii="Verdana" w:eastAsia="Verdana" w:hAnsi="Verdana" w:cs="Verdana"/>
          <w:kern w:val="24"/>
          <w:sz w:val="20"/>
          <w:szCs w:val="20"/>
        </w:rPr>
        <w:t>ían entrar aquí.</w:t>
      </w:r>
    </w:p>
    <w:p w:rsidR="004A28A8" w:rsidRPr="00693BB5" w:rsidRDefault="004A28A8" w:rsidP="00DE68A5">
      <w:pPr>
        <w:jc w:val="both"/>
        <w:rPr>
          <w:rFonts w:ascii="Verdana" w:hAnsi="Verdana"/>
          <w:sz w:val="20"/>
          <w:szCs w:val="20"/>
        </w:rPr>
      </w:pPr>
    </w:p>
    <w:p w:rsidR="007650B3" w:rsidRPr="00693BB5" w:rsidRDefault="004A28A8" w:rsidP="00DE68A5">
      <w:pPr>
        <w:jc w:val="both"/>
        <w:rPr>
          <w:rFonts w:ascii="Verdana" w:hAnsi="Verdana"/>
          <w:sz w:val="20"/>
          <w:szCs w:val="20"/>
        </w:rPr>
      </w:pPr>
      <w:r w:rsidRPr="00693BB5">
        <w:rPr>
          <w:rFonts w:ascii="Verdana" w:hAnsi="Verdana"/>
          <w:noProof/>
          <w:sz w:val="20"/>
          <w:szCs w:val="20"/>
        </w:rPr>
        <w:t xml:space="preserve">Las </w:t>
      </w:r>
      <w:r w:rsidRPr="00693BB5">
        <w:rPr>
          <w:rFonts w:ascii="Verdana" w:hAnsi="Verdana"/>
          <w:b/>
          <w:noProof/>
          <w:sz w:val="20"/>
          <w:szCs w:val="20"/>
        </w:rPr>
        <w:t>Tecnologías de</w:t>
      </w:r>
      <w:r w:rsidR="00B02AEA" w:rsidRPr="00693BB5">
        <w:rPr>
          <w:rFonts w:ascii="Verdana" w:hAnsi="Verdana"/>
          <w:b/>
          <w:noProof/>
          <w:sz w:val="20"/>
          <w:szCs w:val="20"/>
        </w:rPr>
        <w:t xml:space="preserve"> </w:t>
      </w:r>
      <w:r w:rsidRPr="00693BB5">
        <w:rPr>
          <w:rFonts w:ascii="Verdana" w:hAnsi="Verdana"/>
          <w:b/>
          <w:noProof/>
          <w:sz w:val="20"/>
          <w:szCs w:val="20"/>
        </w:rPr>
        <w:t>la Información</w:t>
      </w:r>
      <w:r w:rsidRPr="00693BB5">
        <w:rPr>
          <w:rFonts w:ascii="Verdana" w:hAnsi="Verdana"/>
          <w:noProof/>
          <w:sz w:val="20"/>
          <w:szCs w:val="20"/>
        </w:rPr>
        <w:t xml:space="preserve">, con unas ventas de 22.694 millones de euros, alcanzan el 25,1% </w:t>
      </w:r>
      <w:r w:rsidR="00B02AEA" w:rsidRPr="00693BB5">
        <w:rPr>
          <w:rFonts w:ascii="Verdana" w:hAnsi="Verdana"/>
          <w:noProof/>
          <w:sz w:val="20"/>
          <w:szCs w:val="20"/>
        </w:rPr>
        <w:t xml:space="preserve">del total, </w:t>
      </w:r>
      <w:r w:rsidR="007650B3" w:rsidRPr="00693BB5">
        <w:rPr>
          <w:rFonts w:ascii="Verdana" w:hAnsi="Verdana"/>
          <w:noProof/>
          <w:sz w:val="20"/>
          <w:szCs w:val="20"/>
        </w:rPr>
        <w:t>constituy</w:t>
      </w:r>
      <w:r w:rsidR="008008EA" w:rsidRPr="00693BB5">
        <w:rPr>
          <w:rFonts w:ascii="Verdana" w:hAnsi="Verdana"/>
          <w:noProof/>
          <w:sz w:val="20"/>
          <w:szCs w:val="20"/>
        </w:rPr>
        <w:t>é</w:t>
      </w:r>
      <w:r w:rsidR="007650B3" w:rsidRPr="00693BB5">
        <w:rPr>
          <w:rFonts w:ascii="Verdana" w:hAnsi="Verdana"/>
          <w:noProof/>
          <w:sz w:val="20"/>
          <w:szCs w:val="20"/>
        </w:rPr>
        <w:t xml:space="preserve">ndose como el </w:t>
      </w:r>
      <w:r w:rsidR="00B02AEA" w:rsidRPr="00693BB5">
        <w:rPr>
          <w:rFonts w:ascii="Verdana" w:eastAsia="Verdana" w:hAnsi="Verdana" w:cs="Verdana"/>
          <w:kern w:val="24"/>
          <w:sz w:val="20"/>
          <w:szCs w:val="20"/>
        </w:rPr>
        <w:t>s</w:t>
      </w:r>
      <w:r w:rsidR="007650B3" w:rsidRPr="00693BB5">
        <w:rPr>
          <w:rFonts w:ascii="Verdana" w:eastAsia="Verdana" w:hAnsi="Verdana" w:cs="Verdana"/>
          <w:kern w:val="24"/>
          <w:sz w:val="20"/>
          <w:szCs w:val="20"/>
        </w:rPr>
        <w:t>egundo motor de crecimiento del hipersector (</w:t>
      </w:r>
      <w:r w:rsidR="008008EA" w:rsidRPr="00693BB5">
        <w:rPr>
          <w:rFonts w:ascii="Verdana" w:eastAsia="Verdana" w:hAnsi="Verdana" w:cs="Verdana"/>
          <w:kern w:val="24"/>
          <w:sz w:val="20"/>
          <w:szCs w:val="20"/>
        </w:rPr>
        <w:t>+</w:t>
      </w:r>
      <w:r w:rsidR="007650B3" w:rsidRPr="00693BB5">
        <w:rPr>
          <w:rFonts w:ascii="Verdana" w:eastAsia="Verdana" w:hAnsi="Verdana" w:cs="Verdana"/>
          <w:kern w:val="24"/>
          <w:sz w:val="20"/>
          <w:szCs w:val="20"/>
        </w:rPr>
        <w:t>7,0%) impulsado por la transformación digital de las corporaciones y la consiguiente inversión en servicios (</w:t>
      </w:r>
      <w:r w:rsidR="008008EA" w:rsidRPr="00693BB5">
        <w:rPr>
          <w:rFonts w:ascii="Verdana" w:eastAsia="Verdana" w:hAnsi="Verdana" w:cs="Verdana"/>
          <w:kern w:val="24"/>
          <w:sz w:val="20"/>
          <w:szCs w:val="20"/>
        </w:rPr>
        <w:t>+</w:t>
      </w:r>
      <w:r w:rsidR="007650B3" w:rsidRPr="00693BB5">
        <w:rPr>
          <w:rFonts w:ascii="Verdana" w:eastAsia="Verdana" w:hAnsi="Verdana" w:cs="Verdana"/>
          <w:kern w:val="24"/>
          <w:sz w:val="20"/>
          <w:szCs w:val="20"/>
        </w:rPr>
        <w:t xml:space="preserve">7,6%) y </w:t>
      </w:r>
      <w:r w:rsidR="008008EA" w:rsidRPr="00693BB5">
        <w:rPr>
          <w:rFonts w:ascii="Verdana" w:eastAsia="Verdana" w:hAnsi="Verdana" w:cs="Verdana"/>
          <w:kern w:val="24"/>
          <w:sz w:val="20"/>
          <w:szCs w:val="20"/>
        </w:rPr>
        <w:t xml:space="preserve">en </w:t>
      </w:r>
      <w:r w:rsidR="007650B3" w:rsidRPr="00693BB5">
        <w:rPr>
          <w:rFonts w:ascii="Verdana" w:eastAsia="Verdana" w:hAnsi="Verdana" w:cs="Verdana"/>
          <w:kern w:val="24"/>
          <w:sz w:val="20"/>
          <w:szCs w:val="20"/>
        </w:rPr>
        <w:t>equipos (</w:t>
      </w:r>
      <w:r w:rsidR="008008EA" w:rsidRPr="00693BB5">
        <w:rPr>
          <w:rFonts w:ascii="Verdana" w:eastAsia="Verdana" w:hAnsi="Verdana" w:cs="Verdana"/>
          <w:kern w:val="24"/>
          <w:sz w:val="20"/>
          <w:szCs w:val="20"/>
        </w:rPr>
        <w:t>+</w:t>
      </w:r>
      <w:r w:rsidR="007650B3" w:rsidRPr="00693BB5">
        <w:rPr>
          <w:rFonts w:ascii="Verdana" w:eastAsia="Verdana" w:hAnsi="Verdana" w:cs="Verdana"/>
          <w:kern w:val="24"/>
          <w:sz w:val="20"/>
          <w:szCs w:val="20"/>
        </w:rPr>
        <w:t>7,3%).</w:t>
      </w:r>
    </w:p>
    <w:p w:rsidR="004A28A8" w:rsidRPr="00693BB5" w:rsidRDefault="004A28A8" w:rsidP="00DE68A5">
      <w:pPr>
        <w:jc w:val="both"/>
        <w:rPr>
          <w:rFonts w:ascii="Verdana" w:hAnsi="Verdana"/>
          <w:noProof/>
          <w:sz w:val="20"/>
          <w:szCs w:val="20"/>
        </w:rPr>
      </w:pPr>
    </w:p>
    <w:p w:rsidR="007650B3" w:rsidRPr="00693BB5" w:rsidRDefault="007650B3" w:rsidP="00DE68A5">
      <w:pPr>
        <w:jc w:val="both"/>
        <w:rPr>
          <w:rFonts w:ascii="Verdana" w:eastAsia="Verdana" w:hAnsi="Verdana" w:cs="Verdana"/>
          <w:kern w:val="24"/>
          <w:sz w:val="20"/>
          <w:szCs w:val="20"/>
        </w:rPr>
      </w:pPr>
      <w:r w:rsidRPr="00693BB5">
        <w:rPr>
          <w:rFonts w:ascii="Verdana" w:hAnsi="Verdana"/>
          <w:noProof/>
          <w:sz w:val="20"/>
          <w:szCs w:val="20"/>
        </w:rPr>
        <w:t xml:space="preserve">14.962 MM€ corresponde a la </w:t>
      </w:r>
      <w:r w:rsidRPr="00693BB5">
        <w:rPr>
          <w:rFonts w:ascii="Verdana" w:hAnsi="Verdana"/>
          <w:b/>
          <w:noProof/>
          <w:sz w:val="20"/>
          <w:szCs w:val="20"/>
        </w:rPr>
        <w:t>Industria Electrónica</w:t>
      </w:r>
      <w:r w:rsidR="00B02AEA" w:rsidRPr="00693BB5">
        <w:rPr>
          <w:rFonts w:ascii="Verdana" w:hAnsi="Verdana"/>
          <w:noProof/>
          <w:sz w:val="20"/>
          <w:szCs w:val="20"/>
        </w:rPr>
        <w:t>, lo que supone un 16,6% de la caja total del h</w:t>
      </w:r>
      <w:r w:rsidRPr="00693BB5">
        <w:rPr>
          <w:rFonts w:ascii="Verdana" w:hAnsi="Verdana"/>
          <w:noProof/>
          <w:sz w:val="20"/>
          <w:szCs w:val="20"/>
        </w:rPr>
        <w:t xml:space="preserve">ipersector. Su </w:t>
      </w:r>
      <w:r w:rsidRPr="00693BB5">
        <w:rPr>
          <w:rFonts w:ascii="Verdana" w:eastAsia="Verdana" w:hAnsi="Verdana" w:cs="Verdana"/>
          <w:kern w:val="24"/>
          <w:sz w:val="20"/>
          <w:szCs w:val="20"/>
        </w:rPr>
        <w:t>crecimiento se ha estabilizado, alrededor del crecimiento del PIB (</w:t>
      </w:r>
      <w:r w:rsidR="008008EA" w:rsidRPr="00693BB5">
        <w:rPr>
          <w:rFonts w:ascii="Verdana" w:eastAsia="Verdana" w:hAnsi="Verdana" w:cs="Verdana"/>
          <w:kern w:val="24"/>
          <w:sz w:val="20"/>
          <w:szCs w:val="20"/>
        </w:rPr>
        <w:t>+</w:t>
      </w:r>
      <w:r w:rsidRPr="00693BB5">
        <w:rPr>
          <w:rFonts w:ascii="Verdana" w:eastAsia="Verdana" w:hAnsi="Verdana" w:cs="Verdana"/>
          <w:kern w:val="24"/>
          <w:sz w:val="20"/>
          <w:szCs w:val="20"/>
        </w:rPr>
        <w:t>3,2%).</w:t>
      </w:r>
    </w:p>
    <w:p w:rsidR="007650B3" w:rsidRPr="00693BB5" w:rsidRDefault="007650B3" w:rsidP="00DE68A5">
      <w:pPr>
        <w:jc w:val="both"/>
        <w:rPr>
          <w:rFonts w:ascii="Verdana" w:eastAsia="Verdana" w:hAnsi="Verdana" w:cs="Verdana"/>
          <w:kern w:val="24"/>
          <w:sz w:val="20"/>
          <w:szCs w:val="20"/>
        </w:rPr>
      </w:pPr>
    </w:p>
    <w:p w:rsidR="007650B3" w:rsidRPr="00693BB5" w:rsidRDefault="007650B3" w:rsidP="00DE68A5">
      <w:pPr>
        <w:jc w:val="both"/>
        <w:rPr>
          <w:rFonts w:ascii="Verdana" w:hAnsi="Verdana"/>
          <w:sz w:val="20"/>
          <w:szCs w:val="20"/>
        </w:rPr>
      </w:pPr>
      <w:r w:rsidRPr="00693BB5">
        <w:rPr>
          <w:rFonts w:ascii="Verdana" w:eastAsia="Verdana" w:hAnsi="Verdana" w:cs="Verdana"/>
          <w:kern w:val="24"/>
          <w:sz w:val="20"/>
          <w:szCs w:val="20"/>
        </w:rPr>
        <w:t>El resto, un 2%,</w:t>
      </w:r>
      <w:r w:rsidR="00B02AEA" w:rsidRPr="00693BB5">
        <w:rPr>
          <w:rFonts w:ascii="Verdana" w:eastAsia="Verdana" w:hAnsi="Verdana" w:cs="Verdana"/>
          <w:kern w:val="24"/>
          <w:sz w:val="20"/>
          <w:szCs w:val="20"/>
        </w:rPr>
        <w:t xml:space="preserve"> </w:t>
      </w:r>
      <w:r w:rsidRPr="00693BB5">
        <w:rPr>
          <w:rFonts w:ascii="Verdana" w:eastAsia="Verdana" w:hAnsi="Verdana" w:cs="Verdana"/>
          <w:kern w:val="24"/>
          <w:sz w:val="20"/>
          <w:szCs w:val="20"/>
        </w:rPr>
        <w:t>hasta alca</w:t>
      </w:r>
      <w:r w:rsidR="00B02AEA" w:rsidRPr="00693BB5">
        <w:rPr>
          <w:rFonts w:ascii="Verdana" w:eastAsia="Verdana" w:hAnsi="Verdana" w:cs="Verdana"/>
          <w:kern w:val="24"/>
          <w:sz w:val="20"/>
          <w:szCs w:val="20"/>
        </w:rPr>
        <w:t>n</w:t>
      </w:r>
      <w:r w:rsidRPr="00693BB5">
        <w:rPr>
          <w:rFonts w:ascii="Verdana" w:eastAsia="Verdana" w:hAnsi="Verdana" w:cs="Verdana"/>
          <w:kern w:val="24"/>
          <w:sz w:val="20"/>
          <w:szCs w:val="20"/>
        </w:rPr>
        <w:t xml:space="preserve">zar el 100% de lo facturado (90.010 MM€), corresponde a la </w:t>
      </w:r>
      <w:r w:rsidRPr="00693BB5">
        <w:rPr>
          <w:rFonts w:ascii="Verdana" w:eastAsia="Verdana" w:hAnsi="Verdana" w:cs="Verdana"/>
          <w:b/>
          <w:kern w:val="24"/>
          <w:sz w:val="20"/>
          <w:szCs w:val="20"/>
        </w:rPr>
        <w:t>El</w:t>
      </w:r>
      <w:r w:rsidR="00B02AEA" w:rsidRPr="00693BB5">
        <w:rPr>
          <w:rFonts w:ascii="Verdana" w:eastAsia="Verdana" w:hAnsi="Verdana" w:cs="Verdana"/>
          <w:b/>
          <w:kern w:val="24"/>
          <w:sz w:val="20"/>
          <w:szCs w:val="20"/>
        </w:rPr>
        <w:t>ectrónica de Consumo</w:t>
      </w:r>
      <w:r w:rsidR="00B02AEA" w:rsidRPr="00693BB5">
        <w:rPr>
          <w:rFonts w:ascii="Verdana" w:eastAsia="Verdana" w:hAnsi="Verdana" w:cs="Verdana"/>
          <w:kern w:val="24"/>
          <w:sz w:val="20"/>
          <w:szCs w:val="20"/>
        </w:rPr>
        <w:t xml:space="preserve"> que se sitú</w:t>
      </w:r>
      <w:r w:rsidRPr="00693BB5">
        <w:rPr>
          <w:rFonts w:ascii="Verdana" w:eastAsia="Verdana" w:hAnsi="Verdana" w:cs="Verdana"/>
          <w:kern w:val="24"/>
          <w:sz w:val="20"/>
          <w:szCs w:val="20"/>
        </w:rPr>
        <w:t>a en 1.802 MM€ con una perspectiva de continuidad en</w:t>
      </w:r>
      <w:r w:rsidR="00B02AEA" w:rsidRPr="00693BB5">
        <w:rPr>
          <w:rFonts w:ascii="Verdana" w:eastAsia="Verdana" w:hAnsi="Verdana" w:cs="Verdana"/>
          <w:kern w:val="24"/>
          <w:sz w:val="20"/>
          <w:szCs w:val="20"/>
        </w:rPr>
        <w:t xml:space="preserve"> l</w:t>
      </w:r>
      <w:r w:rsidRPr="00693BB5">
        <w:rPr>
          <w:rFonts w:ascii="Verdana" w:eastAsia="Verdana" w:hAnsi="Verdana" w:cs="Verdana"/>
          <w:kern w:val="24"/>
          <w:sz w:val="20"/>
          <w:szCs w:val="20"/>
        </w:rPr>
        <w:t>a contracción (-3,4%) en un segmento lastrado por la caída de ingresos en audio (-13,2%) y video (-2,5%).</w:t>
      </w:r>
    </w:p>
    <w:p w:rsidR="00771DB0" w:rsidRPr="00693BB5" w:rsidRDefault="00771DB0" w:rsidP="00DE68A5">
      <w:pPr>
        <w:jc w:val="both"/>
        <w:rPr>
          <w:rFonts w:ascii="Verdana" w:hAnsi="Verdana"/>
          <w:noProof/>
          <w:sz w:val="20"/>
          <w:szCs w:val="20"/>
        </w:rPr>
      </w:pPr>
    </w:p>
    <w:p w:rsidR="007650B3" w:rsidRPr="00693BB5" w:rsidRDefault="007650B3" w:rsidP="00DE68A5">
      <w:pPr>
        <w:jc w:val="both"/>
        <w:rPr>
          <w:rFonts w:ascii="Verdana" w:eastAsia="Verdana" w:hAnsi="Verdana" w:cs="Verdana"/>
          <w:kern w:val="24"/>
          <w:sz w:val="20"/>
          <w:szCs w:val="20"/>
        </w:rPr>
      </w:pPr>
      <w:r w:rsidRPr="00693BB5">
        <w:rPr>
          <w:rFonts w:ascii="Verdana" w:hAnsi="Verdana"/>
          <w:noProof/>
          <w:sz w:val="20"/>
          <w:szCs w:val="20"/>
        </w:rPr>
        <w:t xml:space="preserve">Como resumen, podemos decir que </w:t>
      </w:r>
      <w:r w:rsidR="006B6C1B" w:rsidRPr="00693BB5">
        <w:rPr>
          <w:rFonts w:ascii="Verdana" w:hAnsi="Verdana"/>
          <w:noProof/>
          <w:sz w:val="20"/>
          <w:szCs w:val="20"/>
        </w:rPr>
        <w:t xml:space="preserve">tras seis años de contracción se produjo un punto de inflexión en el año 2014, con un crecimiento del 2%, que en el año 2015 se consolida con un crecimiento del 4,8% y con </w:t>
      </w:r>
      <w:r w:rsidRPr="00693BB5">
        <w:rPr>
          <w:rFonts w:ascii="Verdana" w:eastAsia="Verdana" w:hAnsi="Verdana" w:cs="Verdana"/>
          <w:kern w:val="24"/>
          <w:sz w:val="20"/>
          <w:szCs w:val="20"/>
        </w:rPr>
        <w:t xml:space="preserve">perspectivas de continuidad en su </w:t>
      </w:r>
      <w:r w:rsidR="006B6C1B" w:rsidRPr="00693BB5">
        <w:rPr>
          <w:rFonts w:ascii="Verdana" w:eastAsia="Verdana" w:hAnsi="Verdana" w:cs="Verdana"/>
          <w:kern w:val="24"/>
          <w:sz w:val="20"/>
          <w:szCs w:val="20"/>
        </w:rPr>
        <w:t>evolución</w:t>
      </w:r>
      <w:r w:rsidRPr="00693BB5">
        <w:rPr>
          <w:rFonts w:ascii="Verdana" w:eastAsia="Verdana" w:hAnsi="Verdana" w:cs="Verdana"/>
          <w:kern w:val="24"/>
          <w:sz w:val="20"/>
          <w:szCs w:val="20"/>
        </w:rPr>
        <w:t xml:space="preserve">. </w:t>
      </w:r>
      <w:r w:rsidR="006B6C1B" w:rsidRPr="00693BB5">
        <w:rPr>
          <w:rFonts w:ascii="Verdana" w:eastAsia="Verdana" w:hAnsi="Verdana" w:cs="Verdana"/>
          <w:kern w:val="24"/>
          <w:sz w:val="20"/>
          <w:szCs w:val="20"/>
        </w:rPr>
        <w:t>De hecho, el año pasado desde AMETIC</w:t>
      </w:r>
      <w:r w:rsidR="005B5506">
        <w:rPr>
          <w:rFonts w:ascii="Verdana" w:eastAsia="Verdana" w:hAnsi="Verdana" w:cs="Verdana"/>
          <w:kern w:val="24"/>
          <w:sz w:val="20"/>
          <w:szCs w:val="20"/>
        </w:rPr>
        <w:t>,</w:t>
      </w:r>
      <w:r w:rsidR="006B6C1B" w:rsidRPr="00693BB5">
        <w:rPr>
          <w:rFonts w:ascii="Verdana" w:eastAsia="Verdana" w:hAnsi="Verdana" w:cs="Verdana"/>
          <w:kern w:val="24"/>
          <w:sz w:val="20"/>
          <w:szCs w:val="20"/>
        </w:rPr>
        <w:t xml:space="preserve"> anticipamos un crecimiento del sector alrededor del 3,5% y los resultados finales han</w:t>
      </w:r>
      <w:r w:rsidR="00693BB5" w:rsidRPr="00693BB5">
        <w:rPr>
          <w:rFonts w:ascii="Verdana" w:eastAsia="Verdana" w:hAnsi="Verdana" w:cs="Verdana"/>
          <w:kern w:val="24"/>
          <w:sz w:val="20"/>
          <w:szCs w:val="20"/>
        </w:rPr>
        <w:t xml:space="preserve"> superado felizmente</w:t>
      </w:r>
      <w:r w:rsidR="006B6C1B" w:rsidRPr="00693BB5">
        <w:rPr>
          <w:rFonts w:ascii="Verdana" w:eastAsia="Verdana" w:hAnsi="Verdana" w:cs="Verdana"/>
          <w:kern w:val="24"/>
          <w:sz w:val="20"/>
          <w:szCs w:val="20"/>
        </w:rPr>
        <w:t xml:space="preserve"> nuestras primeras estimaciones. </w:t>
      </w:r>
    </w:p>
    <w:p w:rsidR="00D83404" w:rsidRPr="00693BB5" w:rsidRDefault="00D83404" w:rsidP="00DE68A5">
      <w:pPr>
        <w:jc w:val="both"/>
        <w:rPr>
          <w:rFonts w:ascii="Verdana" w:eastAsia="Verdana" w:hAnsi="Verdana" w:cs="Verdana"/>
          <w:kern w:val="24"/>
          <w:sz w:val="20"/>
          <w:szCs w:val="20"/>
        </w:rPr>
      </w:pPr>
    </w:p>
    <w:p w:rsidR="00B02AEA" w:rsidRPr="00693BB5" w:rsidRDefault="00B02AEA" w:rsidP="00DE68A5">
      <w:pPr>
        <w:jc w:val="both"/>
        <w:rPr>
          <w:rFonts w:ascii="Verdana" w:eastAsia="Verdana" w:hAnsi="Verdana" w:cs="Verdana"/>
          <w:b/>
          <w:kern w:val="24"/>
          <w:sz w:val="20"/>
          <w:szCs w:val="20"/>
        </w:rPr>
      </w:pPr>
      <w:r w:rsidRPr="00693BB5">
        <w:rPr>
          <w:rFonts w:ascii="Verdana" w:eastAsia="Verdana" w:hAnsi="Verdana" w:cs="Verdana"/>
          <w:b/>
          <w:kern w:val="24"/>
          <w:sz w:val="20"/>
          <w:szCs w:val="20"/>
        </w:rPr>
        <w:t>Previsión para 2016</w:t>
      </w:r>
    </w:p>
    <w:p w:rsidR="00D83404" w:rsidRPr="00693BB5" w:rsidRDefault="006B6C1B" w:rsidP="00DE68A5">
      <w:pPr>
        <w:jc w:val="both"/>
        <w:rPr>
          <w:rFonts w:ascii="Verdana" w:eastAsia="+mn-ea" w:hAnsi="Verdana" w:cs="+mn-cs"/>
          <w:bCs/>
          <w:kern w:val="24"/>
          <w:sz w:val="20"/>
          <w:szCs w:val="20"/>
        </w:rPr>
      </w:pPr>
      <w:r w:rsidRPr="00693BB5">
        <w:rPr>
          <w:rFonts w:ascii="Verdana" w:hAnsi="Verdana"/>
          <w:sz w:val="20"/>
          <w:szCs w:val="20"/>
        </w:rPr>
        <w:t xml:space="preserve">Nuestra </w:t>
      </w:r>
      <w:r w:rsidR="00D83404" w:rsidRPr="00693BB5">
        <w:rPr>
          <w:rFonts w:ascii="Verdana" w:hAnsi="Verdana"/>
          <w:sz w:val="20"/>
          <w:szCs w:val="20"/>
        </w:rPr>
        <w:t xml:space="preserve">previsión para el presente año nos llevaría a una facturación de </w:t>
      </w:r>
      <w:r w:rsidR="00D83404" w:rsidRPr="00693BB5">
        <w:rPr>
          <w:rFonts w:ascii="Verdana" w:eastAsia="+mn-ea" w:hAnsi="Verdana" w:cs="+mn-cs"/>
          <w:bCs/>
          <w:kern w:val="24"/>
          <w:sz w:val="20"/>
          <w:szCs w:val="20"/>
        </w:rPr>
        <w:t>94.857 millones de euros, por lo que estaríamos hablando de un incremento</w:t>
      </w:r>
      <w:r w:rsidR="000D017B" w:rsidRPr="00693BB5">
        <w:rPr>
          <w:rFonts w:ascii="Verdana" w:eastAsia="+mn-ea" w:hAnsi="Verdana" w:cs="+mn-cs"/>
          <w:bCs/>
          <w:kern w:val="24"/>
          <w:sz w:val="20"/>
          <w:szCs w:val="20"/>
        </w:rPr>
        <w:t xml:space="preserve"> del 5,4% </w:t>
      </w:r>
      <w:r w:rsidR="00D83404" w:rsidRPr="00693BB5">
        <w:rPr>
          <w:rFonts w:ascii="Verdana" w:eastAsia="+mn-ea" w:hAnsi="Verdana" w:cs="+mn-cs"/>
          <w:bCs/>
          <w:kern w:val="24"/>
          <w:sz w:val="20"/>
          <w:szCs w:val="20"/>
        </w:rPr>
        <w:t>al finalizar el presente ejercicio</w:t>
      </w:r>
      <w:r w:rsidRPr="00693BB5">
        <w:rPr>
          <w:rFonts w:ascii="Verdana" w:eastAsia="+mn-ea" w:hAnsi="Verdana" w:cs="+mn-cs"/>
          <w:bCs/>
          <w:kern w:val="24"/>
          <w:sz w:val="20"/>
          <w:szCs w:val="20"/>
        </w:rPr>
        <w:t xml:space="preserve"> respecto del año 2015.</w:t>
      </w:r>
    </w:p>
    <w:p w:rsidR="00F73324" w:rsidRPr="00693BB5" w:rsidRDefault="00F73324" w:rsidP="00DE68A5">
      <w:pPr>
        <w:jc w:val="both"/>
        <w:rPr>
          <w:rFonts w:ascii="Verdana" w:eastAsia="+mn-ea" w:hAnsi="Verdana" w:cs="+mn-cs"/>
          <w:bCs/>
          <w:kern w:val="24"/>
          <w:sz w:val="20"/>
          <w:szCs w:val="20"/>
        </w:rPr>
      </w:pPr>
    </w:p>
    <w:p w:rsidR="00B02AEA" w:rsidRPr="00693BB5" w:rsidRDefault="00B02AEA" w:rsidP="00DE68A5">
      <w:pPr>
        <w:jc w:val="both"/>
        <w:rPr>
          <w:rFonts w:ascii="Verdana" w:eastAsia="+mn-ea" w:hAnsi="Verdana" w:cs="+mn-cs"/>
          <w:b/>
          <w:bCs/>
          <w:kern w:val="24"/>
          <w:sz w:val="20"/>
          <w:szCs w:val="20"/>
        </w:rPr>
      </w:pPr>
      <w:r w:rsidRPr="00693BB5">
        <w:rPr>
          <w:rFonts w:ascii="Verdana" w:eastAsia="+mn-ea" w:hAnsi="Verdana" w:cs="+mn-cs"/>
          <w:b/>
          <w:bCs/>
          <w:kern w:val="24"/>
          <w:sz w:val="20"/>
          <w:szCs w:val="20"/>
        </w:rPr>
        <w:t>Empleo</w:t>
      </w:r>
    </w:p>
    <w:p w:rsidR="00F73324" w:rsidRPr="00693BB5" w:rsidRDefault="00F73324" w:rsidP="00DE68A5">
      <w:pPr>
        <w:jc w:val="both"/>
        <w:rPr>
          <w:rFonts w:ascii="Verdana" w:eastAsia="+mn-ea" w:hAnsi="Verdana" w:cs="+mn-cs"/>
          <w:bCs/>
          <w:kern w:val="24"/>
          <w:sz w:val="20"/>
          <w:szCs w:val="20"/>
        </w:rPr>
      </w:pPr>
      <w:r w:rsidRPr="00693BB5">
        <w:rPr>
          <w:rFonts w:ascii="Verdana" w:eastAsia="+mn-ea" w:hAnsi="Verdana" w:cs="+mn-cs"/>
          <w:bCs/>
          <w:kern w:val="24"/>
          <w:sz w:val="20"/>
          <w:szCs w:val="20"/>
        </w:rPr>
        <w:t>En cuanto a la generación de empleo, el mercado de las TIC y de</w:t>
      </w:r>
      <w:r w:rsidR="00B02AEA" w:rsidRPr="00693BB5">
        <w:rPr>
          <w:rFonts w:ascii="Verdana" w:eastAsia="+mn-ea" w:hAnsi="Verdana" w:cs="+mn-cs"/>
          <w:bCs/>
          <w:kern w:val="24"/>
          <w:sz w:val="20"/>
          <w:szCs w:val="20"/>
        </w:rPr>
        <w:t xml:space="preserve"> los</w:t>
      </w:r>
      <w:r w:rsidRPr="00693BB5">
        <w:rPr>
          <w:rFonts w:ascii="Verdana" w:eastAsia="+mn-ea" w:hAnsi="Verdana" w:cs="+mn-cs"/>
          <w:bCs/>
          <w:kern w:val="24"/>
          <w:sz w:val="20"/>
          <w:szCs w:val="20"/>
        </w:rPr>
        <w:t xml:space="preserve"> Contenidos digitales empleaba</w:t>
      </w:r>
      <w:r w:rsidR="00B02AEA" w:rsidRPr="00693BB5">
        <w:rPr>
          <w:rFonts w:ascii="Verdana" w:eastAsia="+mn-ea" w:hAnsi="Verdana" w:cs="+mn-cs"/>
          <w:bCs/>
          <w:kern w:val="24"/>
          <w:sz w:val="20"/>
          <w:szCs w:val="20"/>
        </w:rPr>
        <w:t>,</w:t>
      </w:r>
      <w:r w:rsidRPr="00693BB5">
        <w:rPr>
          <w:rFonts w:ascii="Verdana" w:eastAsia="+mn-ea" w:hAnsi="Verdana" w:cs="+mn-cs"/>
          <w:bCs/>
          <w:kern w:val="24"/>
          <w:sz w:val="20"/>
          <w:szCs w:val="20"/>
        </w:rPr>
        <w:t xml:space="preserve"> a 31 de diciembre de 2015</w:t>
      </w:r>
      <w:r w:rsidR="00B02AEA" w:rsidRPr="00693BB5">
        <w:rPr>
          <w:rFonts w:ascii="Verdana" w:eastAsia="+mn-ea" w:hAnsi="Verdana" w:cs="+mn-cs"/>
          <w:bCs/>
          <w:kern w:val="24"/>
          <w:sz w:val="20"/>
          <w:szCs w:val="20"/>
        </w:rPr>
        <w:t>,</w:t>
      </w:r>
      <w:r w:rsidR="006B6C1B" w:rsidRPr="00693BB5">
        <w:rPr>
          <w:rFonts w:ascii="Verdana" w:eastAsia="+mn-ea" w:hAnsi="Verdana" w:cs="+mn-cs"/>
          <w:bCs/>
          <w:kern w:val="24"/>
          <w:sz w:val="20"/>
          <w:szCs w:val="20"/>
        </w:rPr>
        <w:t xml:space="preserve"> a </w:t>
      </w:r>
      <w:r w:rsidRPr="00693BB5">
        <w:rPr>
          <w:rFonts w:ascii="Verdana" w:eastAsia="+mn-ea" w:hAnsi="Verdana" w:cs="+mn-cs"/>
          <w:bCs/>
          <w:kern w:val="24"/>
          <w:sz w:val="20"/>
          <w:szCs w:val="20"/>
        </w:rPr>
        <w:t>432.602 personas, lo que supuso un 1,9% más que en la misma fecha del año anterio</w:t>
      </w:r>
      <w:r w:rsidR="00B02AEA" w:rsidRPr="00693BB5">
        <w:rPr>
          <w:rFonts w:ascii="Verdana" w:eastAsia="+mn-ea" w:hAnsi="Verdana" w:cs="+mn-cs"/>
          <w:bCs/>
          <w:kern w:val="24"/>
          <w:sz w:val="20"/>
          <w:szCs w:val="20"/>
        </w:rPr>
        <w:t>r</w:t>
      </w:r>
      <w:r w:rsidRPr="00693BB5">
        <w:rPr>
          <w:rFonts w:ascii="Verdana" w:eastAsia="+mn-ea" w:hAnsi="Verdana" w:cs="+mn-cs"/>
          <w:bCs/>
          <w:kern w:val="24"/>
          <w:sz w:val="20"/>
          <w:szCs w:val="20"/>
        </w:rPr>
        <w:t>. En este ter</w:t>
      </w:r>
      <w:r w:rsidR="00B02AEA" w:rsidRPr="00693BB5">
        <w:rPr>
          <w:rFonts w:ascii="Verdana" w:eastAsia="+mn-ea" w:hAnsi="Verdana" w:cs="+mn-cs"/>
          <w:bCs/>
          <w:kern w:val="24"/>
          <w:sz w:val="20"/>
          <w:szCs w:val="20"/>
        </w:rPr>
        <w:t>r</w:t>
      </w:r>
      <w:r w:rsidRPr="00693BB5">
        <w:rPr>
          <w:rFonts w:ascii="Verdana" w:eastAsia="+mn-ea" w:hAnsi="Verdana" w:cs="+mn-cs"/>
          <w:bCs/>
          <w:kern w:val="24"/>
          <w:sz w:val="20"/>
          <w:szCs w:val="20"/>
        </w:rPr>
        <w:t>eno</w:t>
      </w:r>
      <w:r w:rsidR="005B5506">
        <w:rPr>
          <w:rFonts w:ascii="Verdana" w:eastAsia="+mn-ea" w:hAnsi="Verdana" w:cs="+mn-cs"/>
          <w:bCs/>
          <w:kern w:val="24"/>
          <w:sz w:val="20"/>
          <w:szCs w:val="20"/>
        </w:rPr>
        <w:t>,</w:t>
      </w:r>
      <w:r w:rsidRPr="00693BB5">
        <w:rPr>
          <w:rFonts w:ascii="Verdana" w:eastAsia="+mn-ea" w:hAnsi="Verdana" w:cs="+mn-cs"/>
          <w:bCs/>
          <w:kern w:val="24"/>
          <w:sz w:val="20"/>
          <w:szCs w:val="20"/>
        </w:rPr>
        <w:t xml:space="preserve"> las previs</w:t>
      </w:r>
      <w:r w:rsidR="00B02AEA" w:rsidRPr="00693BB5">
        <w:rPr>
          <w:rFonts w:ascii="Verdana" w:eastAsia="+mn-ea" w:hAnsi="Verdana" w:cs="+mn-cs"/>
          <w:bCs/>
          <w:kern w:val="24"/>
          <w:sz w:val="20"/>
          <w:szCs w:val="20"/>
        </w:rPr>
        <w:t>i</w:t>
      </w:r>
      <w:r w:rsidRPr="00693BB5">
        <w:rPr>
          <w:rFonts w:ascii="Verdana" w:eastAsia="+mn-ea" w:hAnsi="Verdana" w:cs="+mn-cs"/>
          <w:bCs/>
          <w:kern w:val="24"/>
          <w:sz w:val="20"/>
          <w:szCs w:val="20"/>
        </w:rPr>
        <w:t xml:space="preserve">ones de </w:t>
      </w:r>
      <w:r w:rsidR="00B02AEA" w:rsidRPr="00693BB5">
        <w:rPr>
          <w:rFonts w:ascii="Verdana" w:eastAsia="+mn-ea" w:hAnsi="Verdana" w:cs="+mn-cs"/>
          <w:bCs/>
          <w:kern w:val="24"/>
          <w:sz w:val="20"/>
          <w:szCs w:val="20"/>
        </w:rPr>
        <w:t>AMETIC</w:t>
      </w:r>
      <w:r w:rsidRPr="00693BB5">
        <w:rPr>
          <w:rFonts w:ascii="Verdana" w:eastAsia="+mn-ea" w:hAnsi="Verdana" w:cs="+mn-cs"/>
          <w:bCs/>
          <w:kern w:val="24"/>
          <w:sz w:val="20"/>
          <w:szCs w:val="20"/>
        </w:rPr>
        <w:t xml:space="preserve"> son también optimistas, y se espera para final del presente ejercicio </w:t>
      </w:r>
      <w:r w:rsidR="00B02AEA" w:rsidRPr="00693BB5">
        <w:rPr>
          <w:rFonts w:ascii="Verdana" w:eastAsia="+mn-ea" w:hAnsi="Verdana" w:cs="+mn-cs"/>
          <w:bCs/>
          <w:kern w:val="24"/>
          <w:sz w:val="20"/>
          <w:szCs w:val="20"/>
        </w:rPr>
        <w:t xml:space="preserve">que el </w:t>
      </w:r>
      <w:r w:rsidRPr="00693BB5">
        <w:rPr>
          <w:rFonts w:ascii="Verdana" w:eastAsia="+mn-ea" w:hAnsi="Verdana" w:cs="+mn-cs"/>
          <w:bCs/>
          <w:kern w:val="24"/>
          <w:sz w:val="20"/>
          <w:szCs w:val="20"/>
        </w:rPr>
        <w:t>hipersecto</w:t>
      </w:r>
      <w:r w:rsidR="00B02AEA" w:rsidRPr="00693BB5">
        <w:rPr>
          <w:rFonts w:ascii="Verdana" w:eastAsia="+mn-ea" w:hAnsi="Verdana" w:cs="+mn-cs"/>
          <w:bCs/>
          <w:kern w:val="24"/>
          <w:sz w:val="20"/>
          <w:szCs w:val="20"/>
        </w:rPr>
        <w:t>r</w:t>
      </w:r>
      <w:r w:rsidRPr="00693BB5">
        <w:rPr>
          <w:rFonts w:ascii="Verdana" w:eastAsia="+mn-ea" w:hAnsi="Verdana" w:cs="+mn-cs"/>
          <w:bCs/>
          <w:kern w:val="24"/>
          <w:sz w:val="20"/>
          <w:szCs w:val="20"/>
        </w:rPr>
        <w:t xml:space="preserve"> esté </w:t>
      </w:r>
      <w:r w:rsidR="006B6C1B" w:rsidRPr="00693BB5">
        <w:rPr>
          <w:rFonts w:ascii="Verdana" w:eastAsia="+mn-ea" w:hAnsi="Verdana" w:cs="+mn-cs"/>
          <w:bCs/>
          <w:kern w:val="24"/>
          <w:sz w:val="20"/>
          <w:szCs w:val="20"/>
        </w:rPr>
        <w:t>dando trabajo</w:t>
      </w:r>
      <w:r w:rsidRPr="00693BB5">
        <w:rPr>
          <w:rFonts w:ascii="Verdana" w:eastAsia="+mn-ea" w:hAnsi="Verdana" w:cs="+mn-cs"/>
          <w:bCs/>
          <w:kern w:val="24"/>
          <w:sz w:val="20"/>
          <w:szCs w:val="20"/>
        </w:rPr>
        <w:t xml:space="preserve"> a 441.687 profesionales, </w:t>
      </w:r>
      <w:r w:rsidR="006B6C1B" w:rsidRPr="00693BB5">
        <w:rPr>
          <w:rFonts w:ascii="Verdana" w:eastAsia="+mn-ea" w:hAnsi="Verdana" w:cs="+mn-cs"/>
          <w:bCs/>
          <w:kern w:val="24"/>
          <w:sz w:val="20"/>
          <w:szCs w:val="20"/>
        </w:rPr>
        <w:t>lo que significa</w:t>
      </w:r>
      <w:r w:rsidRPr="00693BB5">
        <w:rPr>
          <w:rFonts w:ascii="Verdana" w:eastAsia="+mn-ea" w:hAnsi="Verdana" w:cs="+mn-cs"/>
          <w:bCs/>
          <w:kern w:val="24"/>
          <w:sz w:val="20"/>
          <w:szCs w:val="20"/>
        </w:rPr>
        <w:t xml:space="preserve"> un incremento del 2,1</w:t>
      </w:r>
      <w:r w:rsidR="00CD7A67" w:rsidRPr="00693BB5">
        <w:rPr>
          <w:rFonts w:ascii="Verdana" w:eastAsia="+mn-ea" w:hAnsi="Verdana" w:cs="+mn-cs"/>
          <w:bCs/>
          <w:kern w:val="24"/>
          <w:sz w:val="20"/>
          <w:szCs w:val="20"/>
        </w:rPr>
        <w:t>%</w:t>
      </w:r>
      <w:r w:rsidRPr="00693BB5">
        <w:rPr>
          <w:rFonts w:ascii="Verdana" w:eastAsia="+mn-ea" w:hAnsi="Verdana" w:cs="+mn-cs"/>
          <w:bCs/>
          <w:kern w:val="24"/>
          <w:sz w:val="20"/>
          <w:szCs w:val="20"/>
        </w:rPr>
        <w:t xml:space="preserve"> sobre 2015.</w:t>
      </w:r>
    </w:p>
    <w:p w:rsidR="00B02AEA" w:rsidRDefault="00B02AEA" w:rsidP="00DE68A5">
      <w:pPr>
        <w:jc w:val="both"/>
        <w:rPr>
          <w:rFonts w:ascii="Verdana" w:eastAsia="+mn-ea" w:hAnsi="Verdana" w:cs="+mn-cs"/>
          <w:b/>
          <w:bCs/>
          <w:i/>
          <w:kern w:val="24"/>
          <w:sz w:val="18"/>
          <w:szCs w:val="18"/>
        </w:rPr>
      </w:pPr>
    </w:p>
    <w:p w:rsidR="00693BB5" w:rsidRDefault="00693BB5" w:rsidP="00DE68A5">
      <w:pPr>
        <w:jc w:val="both"/>
        <w:rPr>
          <w:rFonts w:ascii="Verdana" w:eastAsia="+mn-ea" w:hAnsi="Verdana" w:cs="+mn-cs"/>
          <w:b/>
          <w:bCs/>
          <w:i/>
          <w:kern w:val="24"/>
          <w:sz w:val="18"/>
          <w:szCs w:val="18"/>
        </w:rPr>
      </w:pPr>
    </w:p>
    <w:p w:rsidR="00693BB5" w:rsidRPr="00B02AEA" w:rsidRDefault="00693BB5" w:rsidP="00DE68A5">
      <w:pPr>
        <w:jc w:val="both"/>
        <w:rPr>
          <w:rFonts w:ascii="Verdana" w:eastAsia="+mn-ea" w:hAnsi="Verdana" w:cs="+mn-cs"/>
          <w:b/>
          <w:bCs/>
          <w:i/>
          <w:kern w:val="24"/>
          <w:sz w:val="18"/>
          <w:szCs w:val="18"/>
        </w:rPr>
      </w:pPr>
    </w:p>
    <w:p w:rsidR="00B02AEA" w:rsidRDefault="00693BB5" w:rsidP="00DE68A5">
      <w:pPr>
        <w:jc w:val="both"/>
        <w:rPr>
          <w:rFonts w:ascii="Verdana" w:eastAsia="+mn-ea" w:hAnsi="Verdana" w:cs="+mn-cs"/>
          <w:b/>
          <w:bCs/>
          <w:i/>
          <w:kern w:val="24"/>
          <w:sz w:val="18"/>
          <w:szCs w:val="18"/>
        </w:rPr>
      </w:pPr>
      <w:r>
        <w:rPr>
          <w:rFonts w:ascii="Verdana" w:eastAsia="+mn-ea" w:hAnsi="Verdana" w:cs="+mn-cs"/>
          <w:b/>
          <w:bCs/>
          <w:i/>
          <w:kern w:val="24"/>
          <w:sz w:val="18"/>
          <w:szCs w:val="18"/>
        </w:rPr>
        <w:lastRenderedPageBreak/>
        <w:t xml:space="preserve">          </w:t>
      </w:r>
      <w:r w:rsidR="00B02AEA" w:rsidRPr="00B02AEA">
        <w:rPr>
          <w:rFonts w:ascii="Verdana" w:eastAsia="+mn-ea" w:hAnsi="Verdana" w:cs="+mn-cs"/>
          <w:b/>
          <w:bCs/>
          <w:i/>
          <w:kern w:val="24"/>
          <w:sz w:val="18"/>
          <w:szCs w:val="18"/>
        </w:rPr>
        <w:t>Criterios de segmentación</w:t>
      </w:r>
    </w:p>
    <w:p w:rsidR="003D6257" w:rsidRPr="0016162E" w:rsidRDefault="00F73324" w:rsidP="00693BB5">
      <w:pPr>
        <w:jc w:val="center"/>
        <w:rPr>
          <w:rFonts w:ascii="Verdana" w:hAnsi="Verdana"/>
          <w:color w:val="000000" w:themeColor="text1"/>
          <w:sz w:val="20"/>
          <w:szCs w:val="20"/>
        </w:rPr>
      </w:pPr>
      <w:r>
        <w:rPr>
          <w:noProof/>
        </w:rPr>
        <w:drawing>
          <wp:inline distT="0" distB="0" distL="0" distR="0" wp14:anchorId="3D6CE60F" wp14:editId="15C2AFFC">
            <wp:extent cx="5612130" cy="34512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451225"/>
                    </a:xfrm>
                    <a:prstGeom prst="rect">
                      <a:avLst/>
                    </a:prstGeom>
                  </pic:spPr>
                </pic:pic>
              </a:graphicData>
            </a:graphic>
          </wp:inline>
        </w:drawing>
      </w:r>
    </w:p>
    <w:p w:rsidR="003B5C68" w:rsidRDefault="003B5C68" w:rsidP="007E7EB7">
      <w:pPr>
        <w:rPr>
          <w:rFonts w:ascii="Verdana" w:hAnsi="Verdana"/>
          <w:i/>
          <w:color w:val="404040" w:themeColor="text1" w:themeTint="BF"/>
          <w:sz w:val="18"/>
          <w:szCs w:val="18"/>
        </w:rPr>
      </w:pPr>
    </w:p>
    <w:p w:rsidR="003D6257" w:rsidRDefault="003D6257" w:rsidP="007E7EB7">
      <w:pPr>
        <w:rPr>
          <w:rFonts w:ascii="Verdana" w:hAnsi="Verdana"/>
          <w:i/>
          <w:color w:val="404040" w:themeColor="text1" w:themeTint="BF"/>
          <w:sz w:val="18"/>
          <w:szCs w:val="18"/>
        </w:rPr>
      </w:pPr>
    </w:p>
    <w:p w:rsidR="00C753C4" w:rsidRPr="00B02AEA" w:rsidRDefault="00C753C4" w:rsidP="00C753C4">
      <w:pPr>
        <w:rPr>
          <w:rFonts w:ascii="Verdana" w:hAnsi="Verdana"/>
          <w:b/>
          <w:color w:val="000000" w:themeColor="text1"/>
          <w:sz w:val="18"/>
          <w:szCs w:val="18"/>
        </w:rPr>
      </w:pPr>
      <w:r w:rsidRPr="00B02AEA">
        <w:rPr>
          <w:rFonts w:ascii="Verdana" w:hAnsi="Verdana"/>
          <w:b/>
          <w:color w:val="000000" w:themeColor="text1"/>
          <w:sz w:val="18"/>
          <w:szCs w:val="18"/>
        </w:rPr>
        <w:t>Sobre Ametic</w:t>
      </w:r>
    </w:p>
    <w:p w:rsidR="00C753C4" w:rsidRPr="00B02AEA" w:rsidRDefault="00C753C4" w:rsidP="00C753C4">
      <w:pPr>
        <w:jc w:val="both"/>
        <w:rPr>
          <w:rFonts w:ascii="Verdana" w:hAnsi="Verdana"/>
          <w:color w:val="000000" w:themeColor="text1"/>
          <w:sz w:val="18"/>
          <w:szCs w:val="18"/>
        </w:rPr>
      </w:pPr>
      <w:r w:rsidRPr="00B02AEA">
        <w:rPr>
          <w:rFonts w:ascii="Verdana" w:hAnsi="Verdana"/>
          <w:color w:val="000000" w:themeColor="text1"/>
          <w:sz w:val="18"/>
          <w:szCs w:val="18"/>
        </w:rPr>
        <w:t>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BD08C6" w:rsidRPr="00C753C4" w:rsidRDefault="0027707D" w:rsidP="00C753C4">
      <w:pPr>
        <w:jc w:val="both"/>
        <w:rPr>
          <w:rFonts w:ascii="Verdana" w:hAnsi="Verdana"/>
          <w:color w:val="404040" w:themeColor="text1" w:themeTint="BF"/>
          <w:sz w:val="18"/>
          <w:szCs w:val="18"/>
        </w:rPr>
      </w:pPr>
      <w:hyperlink r:id="rId9" w:history="1">
        <w:r w:rsidR="00C753C4" w:rsidRPr="00C753C4">
          <w:rPr>
            <w:rStyle w:val="Hipervnculo"/>
            <w:rFonts w:ascii="Verdana" w:hAnsi="Verdana"/>
            <w:sz w:val="18"/>
            <w:szCs w:val="18"/>
          </w:rPr>
          <w:t>www.ametic.es</w:t>
        </w:r>
      </w:hyperlink>
    </w:p>
    <w:p w:rsidR="00C753C4" w:rsidRDefault="00C753C4" w:rsidP="00C753C4">
      <w:pPr>
        <w:jc w:val="both"/>
        <w:rPr>
          <w:rFonts w:ascii="Verdana" w:hAnsi="Verdana"/>
          <w:color w:val="404040" w:themeColor="text1" w:themeTint="BF"/>
          <w:sz w:val="18"/>
          <w:szCs w:val="18"/>
        </w:rPr>
      </w:pPr>
    </w:p>
    <w:p w:rsidR="00771DB0" w:rsidRPr="00C753C4" w:rsidRDefault="00771DB0" w:rsidP="00C753C4">
      <w:pPr>
        <w:jc w:val="both"/>
        <w:rPr>
          <w:rFonts w:ascii="Verdana" w:hAnsi="Verdana"/>
          <w:color w:val="404040" w:themeColor="text1" w:themeTint="BF"/>
          <w:sz w:val="18"/>
          <w:szCs w:val="18"/>
        </w:rPr>
      </w:pPr>
    </w:p>
    <w:p w:rsidR="00771DB0" w:rsidRPr="00C753C4" w:rsidRDefault="00DA78DB" w:rsidP="00B02AEA">
      <w:pPr>
        <w:rPr>
          <w:rFonts w:ascii="Verdana" w:hAnsi="Verdana"/>
          <w:color w:val="404040" w:themeColor="text1" w:themeTint="BF"/>
          <w:sz w:val="18"/>
          <w:szCs w:val="18"/>
        </w:rPr>
      </w:pPr>
      <w:r>
        <w:rPr>
          <w:noProof/>
        </w:rPr>
        <w:drawing>
          <wp:inline distT="0" distB="0" distL="0" distR="0" wp14:anchorId="31FC9363" wp14:editId="41AEFA1B">
            <wp:extent cx="1810812" cy="624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22559" cy="628893"/>
                    </a:xfrm>
                    <a:prstGeom prst="rect">
                      <a:avLst/>
                    </a:prstGeom>
                    <a:noFill/>
                    <a:ln w="9525">
                      <a:noFill/>
                      <a:miter lim="800000"/>
                      <a:headEnd/>
                      <a:tailEnd/>
                    </a:ln>
                  </pic:spPr>
                </pic:pic>
              </a:graphicData>
            </a:graphic>
          </wp:inline>
        </w:drawing>
      </w:r>
    </w:p>
    <w:sectPr w:rsidR="00771DB0" w:rsidRPr="00C753C4" w:rsidSect="0008689F">
      <w:headerReference w:type="default" r:id="rId11"/>
      <w:footerReference w:type="defaul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7D" w:rsidRDefault="0027707D" w:rsidP="009E1311">
      <w:r>
        <w:separator/>
      </w:r>
    </w:p>
  </w:endnote>
  <w:endnote w:type="continuationSeparator" w:id="0">
    <w:p w:rsidR="0027707D" w:rsidRDefault="0027707D"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7D" w:rsidRDefault="0027707D" w:rsidP="009E1311">
      <w:r>
        <w:separator/>
      </w:r>
    </w:p>
  </w:footnote>
  <w:footnote w:type="continuationSeparator" w:id="0">
    <w:p w:rsidR="0027707D" w:rsidRDefault="0027707D"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8E759C">
    <w:pPr>
      <w:pStyle w:val="Encabezado"/>
    </w:pPr>
    <w:r>
      <w:rPr>
        <w:noProof/>
        <w:lang w:eastAsia="es-ES"/>
      </w:rPr>
      <w:drawing>
        <wp:inline distT="0" distB="0" distL="0" distR="0" wp14:anchorId="3F5C77D7" wp14:editId="596E5170">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ADD"/>
    <w:multiLevelType w:val="hybridMultilevel"/>
    <w:tmpl w:val="644E5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7B0D21"/>
    <w:multiLevelType w:val="hybridMultilevel"/>
    <w:tmpl w:val="D0D4EB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D1672C"/>
    <w:multiLevelType w:val="hybridMultilevel"/>
    <w:tmpl w:val="9C76EF5C"/>
    <w:lvl w:ilvl="0" w:tplc="325AEE92">
      <w:start w:val="1"/>
      <w:numFmt w:val="bullet"/>
      <w:lvlText w:val="•"/>
      <w:lvlJc w:val="left"/>
      <w:pPr>
        <w:tabs>
          <w:tab w:val="num" w:pos="720"/>
        </w:tabs>
        <w:ind w:left="720" w:hanging="360"/>
      </w:pPr>
      <w:rPr>
        <w:rFonts w:ascii="Arial" w:hAnsi="Arial" w:hint="default"/>
      </w:rPr>
    </w:lvl>
    <w:lvl w:ilvl="1" w:tplc="DC1CB01A">
      <w:start w:val="1"/>
      <w:numFmt w:val="bullet"/>
      <w:lvlText w:val="•"/>
      <w:lvlJc w:val="left"/>
      <w:pPr>
        <w:tabs>
          <w:tab w:val="num" w:pos="1440"/>
        </w:tabs>
        <w:ind w:left="1440" w:hanging="360"/>
      </w:pPr>
      <w:rPr>
        <w:rFonts w:ascii="Arial" w:hAnsi="Arial" w:hint="default"/>
      </w:rPr>
    </w:lvl>
    <w:lvl w:ilvl="2" w:tplc="49CC7C4C" w:tentative="1">
      <w:start w:val="1"/>
      <w:numFmt w:val="bullet"/>
      <w:lvlText w:val="•"/>
      <w:lvlJc w:val="left"/>
      <w:pPr>
        <w:tabs>
          <w:tab w:val="num" w:pos="2160"/>
        </w:tabs>
        <w:ind w:left="2160" w:hanging="360"/>
      </w:pPr>
      <w:rPr>
        <w:rFonts w:ascii="Arial" w:hAnsi="Arial" w:hint="default"/>
      </w:rPr>
    </w:lvl>
    <w:lvl w:ilvl="3" w:tplc="F8043912" w:tentative="1">
      <w:start w:val="1"/>
      <w:numFmt w:val="bullet"/>
      <w:lvlText w:val="•"/>
      <w:lvlJc w:val="left"/>
      <w:pPr>
        <w:tabs>
          <w:tab w:val="num" w:pos="2880"/>
        </w:tabs>
        <w:ind w:left="2880" w:hanging="360"/>
      </w:pPr>
      <w:rPr>
        <w:rFonts w:ascii="Arial" w:hAnsi="Arial" w:hint="default"/>
      </w:rPr>
    </w:lvl>
    <w:lvl w:ilvl="4" w:tplc="BDBC7CFC" w:tentative="1">
      <w:start w:val="1"/>
      <w:numFmt w:val="bullet"/>
      <w:lvlText w:val="•"/>
      <w:lvlJc w:val="left"/>
      <w:pPr>
        <w:tabs>
          <w:tab w:val="num" w:pos="3600"/>
        </w:tabs>
        <w:ind w:left="3600" w:hanging="360"/>
      </w:pPr>
      <w:rPr>
        <w:rFonts w:ascii="Arial" w:hAnsi="Arial" w:hint="default"/>
      </w:rPr>
    </w:lvl>
    <w:lvl w:ilvl="5" w:tplc="727EE518" w:tentative="1">
      <w:start w:val="1"/>
      <w:numFmt w:val="bullet"/>
      <w:lvlText w:val="•"/>
      <w:lvlJc w:val="left"/>
      <w:pPr>
        <w:tabs>
          <w:tab w:val="num" w:pos="4320"/>
        </w:tabs>
        <w:ind w:left="4320" w:hanging="360"/>
      </w:pPr>
      <w:rPr>
        <w:rFonts w:ascii="Arial" w:hAnsi="Arial" w:hint="default"/>
      </w:rPr>
    </w:lvl>
    <w:lvl w:ilvl="6" w:tplc="64A0EA3A" w:tentative="1">
      <w:start w:val="1"/>
      <w:numFmt w:val="bullet"/>
      <w:lvlText w:val="•"/>
      <w:lvlJc w:val="left"/>
      <w:pPr>
        <w:tabs>
          <w:tab w:val="num" w:pos="5040"/>
        </w:tabs>
        <w:ind w:left="5040" w:hanging="360"/>
      </w:pPr>
      <w:rPr>
        <w:rFonts w:ascii="Arial" w:hAnsi="Arial" w:hint="default"/>
      </w:rPr>
    </w:lvl>
    <w:lvl w:ilvl="7" w:tplc="39CCC66A" w:tentative="1">
      <w:start w:val="1"/>
      <w:numFmt w:val="bullet"/>
      <w:lvlText w:val="•"/>
      <w:lvlJc w:val="left"/>
      <w:pPr>
        <w:tabs>
          <w:tab w:val="num" w:pos="5760"/>
        </w:tabs>
        <w:ind w:left="5760" w:hanging="360"/>
      </w:pPr>
      <w:rPr>
        <w:rFonts w:ascii="Arial" w:hAnsi="Arial" w:hint="default"/>
      </w:rPr>
    </w:lvl>
    <w:lvl w:ilvl="8" w:tplc="58A643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2B526D"/>
    <w:multiLevelType w:val="hybridMultilevel"/>
    <w:tmpl w:val="B37AE2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C106B0"/>
    <w:multiLevelType w:val="hybridMultilevel"/>
    <w:tmpl w:val="5D8AD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9E445D"/>
    <w:multiLevelType w:val="hybridMultilevel"/>
    <w:tmpl w:val="BE2E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E82BA1"/>
    <w:multiLevelType w:val="hybridMultilevel"/>
    <w:tmpl w:val="DB82A6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5F3F50"/>
    <w:multiLevelType w:val="hybridMultilevel"/>
    <w:tmpl w:val="5E622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D41C43"/>
    <w:multiLevelType w:val="hybridMultilevel"/>
    <w:tmpl w:val="C25268E4"/>
    <w:lvl w:ilvl="0" w:tplc="6436C538">
      <w:start w:val="1"/>
      <w:numFmt w:val="bullet"/>
      <w:lvlText w:val="•"/>
      <w:lvlJc w:val="left"/>
      <w:pPr>
        <w:tabs>
          <w:tab w:val="num" w:pos="720"/>
        </w:tabs>
        <w:ind w:left="720" w:hanging="360"/>
      </w:pPr>
      <w:rPr>
        <w:rFonts w:ascii="Arial" w:hAnsi="Arial" w:hint="default"/>
      </w:rPr>
    </w:lvl>
    <w:lvl w:ilvl="1" w:tplc="8866583C">
      <w:start w:val="1"/>
      <w:numFmt w:val="bullet"/>
      <w:lvlText w:val="•"/>
      <w:lvlJc w:val="left"/>
      <w:pPr>
        <w:tabs>
          <w:tab w:val="num" w:pos="1440"/>
        </w:tabs>
        <w:ind w:left="1440" w:hanging="360"/>
      </w:pPr>
      <w:rPr>
        <w:rFonts w:ascii="Arial" w:hAnsi="Arial" w:hint="default"/>
      </w:rPr>
    </w:lvl>
    <w:lvl w:ilvl="2" w:tplc="862CD45E" w:tentative="1">
      <w:start w:val="1"/>
      <w:numFmt w:val="bullet"/>
      <w:lvlText w:val="•"/>
      <w:lvlJc w:val="left"/>
      <w:pPr>
        <w:tabs>
          <w:tab w:val="num" w:pos="2160"/>
        </w:tabs>
        <w:ind w:left="2160" w:hanging="360"/>
      </w:pPr>
      <w:rPr>
        <w:rFonts w:ascii="Arial" w:hAnsi="Arial" w:hint="default"/>
      </w:rPr>
    </w:lvl>
    <w:lvl w:ilvl="3" w:tplc="C364880E" w:tentative="1">
      <w:start w:val="1"/>
      <w:numFmt w:val="bullet"/>
      <w:lvlText w:val="•"/>
      <w:lvlJc w:val="left"/>
      <w:pPr>
        <w:tabs>
          <w:tab w:val="num" w:pos="2880"/>
        </w:tabs>
        <w:ind w:left="2880" w:hanging="360"/>
      </w:pPr>
      <w:rPr>
        <w:rFonts w:ascii="Arial" w:hAnsi="Arial" w:hint="default"/>
      </w:rPr>
    </w:lvl>
    <w:lvl w:ilvl="4" w:tplc="E1041B9C" w:tentative="1">
      <w:start w:val="1"/>
      <w:numFmt w:val="bullet"/>
      <w:lvlText w:val="•"/>
      <w:lvlJc w:val="left"/>
      <w:pPr>
        <w:tabs>
          <w:tab w:val="num" w:pos="3600"/>
        </w:tabs>
        <w:ind w:left="3600" w:hanging="360"/>
      </w:pPr>
      <w:rPr>
        <w:rFonts w:ascii="Arial" w:hAnsi="Arial" w:hint="default"/>
      </w:rPr>
    </w:lvl>
    <w:lvl w:ilvl="5" w:tplc="98DA4A48" w:tentative="1">
      <w:start w:val="1"/>
      <w:numFmt w:val="bullet"/>
      <w:lvlText w:val="•"/>
      <w:lvlJc w:val="left"/>
      <w:pPr>
        <w:tabs>
          <w:tab w:val="num" w:pos="4320"/>
        </w:tabs>
        <w:ind w:left="4320" w:hanging="360"/>
      </w:pPr>
      <w:rPr>
        <w:rFonts w:ascii="Arial" w:hAnsi="Arial" w:hint="default"/>
      </w:rPr>
    </w:lvl>
    <w:lvl w:ilvl="6" w:tplc="2B68990A" w:tentative="1">
      <w:start w:val="1"/>
      <w:numFmt w:val="bullet"/>
      <w:lvlText w:val="•"/>
      <w:lvlJc w:val="left"/>
      <w:pPr>
        <w:tabs>
          <w:tab w:val="num" w:pos="5040"/>
        </w:tabs>
        <w:ind w:left="5040" w:hanging="360"/>
      </w:pPr>
      <w:rPr>
        <w:rFonts w:ascii="Arial" w:hAnsi="Arial" w:hint="default"/>
      </w:rPr>
    </w:lvl>
    <w:lvl w:ilvl="7" w:tplc="8A6E3D84" w:tentative="1">
      <w:start w:val="1"/>
      <w:numFmt w:val="bullet"/>
      <w:lvlText w:val="•"/>
      <w:lvlJc w:val="left"/>
      <w:pPr>
        <w:tabs>
          <w:tab w:val="num" w:pos="5760"/>
        </w:tabs>
        <w:ind w:left="5760" w:hanging="360"/>
      </w:pPr>
      <w:rPr>
        <w:rFonts w:ascii="Arial" w:hAnsi="Arial" w:hint="default"/>
      </w:rPr>
    </w:lvl>
    <w:lvl w:ilvl="8" w:tplc="5CD01D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8B4E79"/>
    <w:multiLevelType w:val="hybridMultilevel"/>
    <w:tmpl w:val="6F209FBC"/>
    <w:lvl w:ilvl="0" w:tplc="9D2C1194">
      <w:start w:val="1"/>
      <w:numFmt w:val="bullet"/>
      <w:lvlText w:val="•"/>
      <w:lvlJc w:val="left"/>
      <w:pPr>
        <w:tabs>
          <w:tab w:val="num" w:pos="720"/>
        </w:tabs>
        <w:ind w:left="720" w:hanging="360"/>
      </w:pPr>
      <w:rPr>
        <w:rFonts w:ascii="Arial" w:hAnsi="Arial" w:hint="default"/>
      </w:rPr>
    </w:lvl>
    <w:lvl w:ilvl="1" w:tplc="A8DCA30A">
      <w:start w:val="1"/>
      <w:numFmt w:val="bullet"/>
      <w:lvlText w:val="•"/>
      <w:lvlJc w:val="left"/>
      <w:pPr>
        <w:tabs>
          <w:tab w:val="num" w:pos="1440"/>
        </w:tabs>
        <w:ind w:left="1440" w:hanging="360"/>
      </w:pPr>
      <w:rPr>
        <w:rFonts w:ascii="Arial" w:hAnsi="Arial" w:hint="default"/>
      </w:rPr>
    </w:lvl>
    <w:lvl w:ilvl="2" w:tplc="69B0FF2E" w:tentative="1">
      <w:start w:val="1"/>
      <w:numFmt w:val="bullet"/>
      <w:lvlText w:val="•"/>
      <w:lvlJc w:val="left"/>
      <w:pPr>
        <w:tabs>
          <w:tab w:val="num" w:pos="2160"/>
        </w:tabs>
        <w:ind w:left="2160" w:hanging="360"/>
      </w:pPr>
      <w:rPr>
        <w:rFonts w:ascii="Arial" w:hAnsi="Arial" w:hint="default"/>
      </w:rPr>
    </w:lvl>
    <w:lvl w:ilvl="3" w:tplc="1E8AFE74" w:tentative="1">
      <w:start w:val="1"/>
      <w:numFmt w:val="bullet"/>
      <w:lvlText w:val="•"/>
      <w:lvlJc w:val="left"/>
      <w:pPr>
        <w:tabs>
          <w:tab w:val="num" w:pos="2880"/>
        </w:tabs>
        <w:ind w:left="2880" w:hanging="360"/>
      </w:pPr>
      <w:rPr>
        <w:rFonts w:ascii="Arial" w:hAnsi="Arial" w:hint="default"/>
      </w:rPr>
    </w:lvl>
    <w:lvl w:ilvl="4" w:tplc="48E85510" w:tentative="1">
      <w:start w:val="1"/>
      <w:numFmt w:val="bullet"/>
      <w:lvlText w:val="•"/>
      <w:lvlJc w:val="left"/>
      <w:pPr>
        <w:tabs>
          <w:tab w:val="num" w:pos="3600"/>
        </w:tabs>
        <w:ind w:left="3600" w:hanging="360"/>
      </w:pPr>
      <w:rPr>
        <w:rFonts w:ascii="Arial" w:hAnsi="Arial" w:hint="default"/>
      </w:rPr>
    </w:lvl>
    <w:lvl w:ilvl="5" w:tplc="D00CDC30" w:tentative="1">
      <w:start w:val="1"/>
      <w:numFmt w:val="bullet"/>
      <w:lvlText w:val="•"/>
      <w:lvlJc w:val="left"/>
      <w:pPr>
        <w:tabs>
          <w:tab w:val="num" w:pos="4320"/>
        </w:tabs>
        <w:ind w:left="4320" w:hanging="360"/>
      </w:pPr>
      <w:rPr>
        <w:rFonts w:ascii="Arial" w:hAnsi="Arial" w:hint="default"/>
      </w:rPr>
    </w:lvl>
    <w:lvl w:ilvl="6" w:tplc="A142EF0A" w:tentative="1">
      <w:start w:val="1"/>
      <w:numFmt w:val="bullet"/>
      <w:lvlText w:val="•"/>
      <w:lvlJc w:val="left"/>
      <w:pPr>
        <w:tabs>
          <w:tab w:val="num" w:pos="5040"/>
        </w:tabs>
        <w:ind w:left="5040" w:hanging="360"/>
      </w:pPr>
      <w:rPr>
        <w:rFonts w:ascii="Arial" w:hAnsi="Arial" w:hint="default"/>
      </w:rPr>
    </w:lvl>
    <w:lvl w:ilvl="7" w:tplc="003C42BC" w:tentative="1">
      <w:start w:val="1"/>
      <w:numFmt w:val="bullet"/>
      <w:lvlText w:val="•"/>
      <w:lvlJc w:val="left"/>
      <w:pPr>
        <w:tabs>
          <w:tab w:val="num" w:pos="5760"/>
        </w:tabs>
        <w:ind w:left="5760" w:hanging="360"/>
      </w:pPr>
      <w:rPr>
        <w:rFonts w:ascii="Arial" w:hAnsi="Arial" w:hint="default"/>
      </w:rPr>
    </w:lvl>
    <w:lvl w:ilvl="8" w:tplc="75B080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18402A"/>
    <w:multiLevelType w:val="hybridMultilevel"/>
    <w:tmpl w:val="A120D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9"/>
  </w:num>
  <w:num w:numId="7">
    <w:abstractNumId w:val="2"/>
  </w:num>
  <w:num w:numId="8">
    <w:abstractNumId w:val="8"/>
  </w:num>
  <w:num w:numId="9">
    <w:abstractNumId w:val="10"/>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124E"/>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52DE"/>
    <w:rsid w:val="0008689F"/>
    <w:rsid w:val="00094988"/>
    <w:rsid w:val="000A222B"/>
    <w:rsid w:val="000A4415"/>
    <w:rsid w:val="000C3524"/>
    <w:rsid w:val="000C4837"/>
    <w:rsid w:val="000C56CD"/>
    <w:rsid w:val="000C7A8D"/>
    <w:rsid w:val="000D017B"/>
    <w:rsid w:val="000D1D7F"/>
    <w:rsid w:val="000E0D7E"/>
    <w:rsid w:val="000E269D"/>
    <w:rsid w:val="00102517"/>
    <w:rsid w:val="00106455"/>
    <w:rsid w:val="00110FE8"/>
    <w:rsid w:val="001150E4"/>
    <w:rsid w:val="00121461"/>
    <w:rsid w:val="001230A7"/>
    <w:rsid w:val="001245EA"/>
    <w:rsid w:val="00141569"/>
    <w:rsid w:val="00144426"/>
    <w:rsid w:val="001517BF"/>
    <w:rsid w:val="00183AE8"/>
    <w:rsid w:val="00192018"/>
    <w:rsid w:val="001A3D38"/>
    <w:rsid w:val="001B6C94"/>
    <w:rsid w:val="001D0821"/>
    <w:rsid w:val="001D1463"/>
    <w:rsid w:val="001D4046"/>
    <w:rsid w:val="001E31C3"/>
    <w:rsid w:val="001E5634"/>
    <w:rsid w:val="001F3294"/>
    <w:rsid w:val="001F3306"/>
    <w:rsid w:val="001F6080"/>
    <w:rsid w:val="0020035E"/>
    <w:rsid w:val="00200827"/>
    <w:rsid w:val="002025AC"/>
    <w:rsid w:val="002126E3"/>
    <w:rsid w:val="0021561A"/>
    <w:rsid w:val="00221145"/>
    <w:rsid w:val="00221E6D"/>
    <w:rsid w:val="0022368D"/>
    <w:rsid w:val="00235558"/>
    <w:rsid w:val="00235A15"/>
    <w:rsid w:val="00236CD3"/>
    <w:rsid w:val="00241E92"/>
    <w:rsid w:val="00263502"/>
    <w:rsid w:val="002667A4"/>
    <w:rsid w:val="002711EF"/>
    <w:rsid w:val="00276CF2"/>
    <w:rsid w:val="0027707D"/>
    <w:rsid w:val="002A4CCF"/>
    <w:rsid w:val="002A5B6E"/>
    <w:rsid w:val="002A7163"/>
    <w:rsid w:val="002B2C70"/>
    <w:rsid w:val="002B4C69"/>
    <w:rsid w:val="002B571C"/>
    <w:rsid w:val="002B7948"/>
    <w:rsid w:val="002C7BB8"/>
    <w:rsid w:val="002D0CEB"/>
    <w:rsid w:val="002E1A2F"/>
    <w:rsid w:val="002E2F28"/>
    <w:rsid w:val="002F2CFA"/>
    <w:rsid w:val="002F345E"/>
    <w:rsid w:val="003050A0"/>
    <w:rsid w:val="00313996"/>
    <w:rsid w:val="00315DD6"/>
    <w:rsid w:val="0031683E"/>
    <w:rsid w:val="003329E5"/>
    <w:rsid w:val="00334873"/>
    <w:rsid w:val="00347EF5"/>
    <w:rsid w:val="00356DD1"/>
    <w:rsid w:val="003605CA"/>
    <w:rsid w:val="00374326"/>
    <w:rsid w:val="00383383"/>
    <w:rsid w:val="0038440D"/>
    <w:rsid w:val="00385222"/>
    <w:rsid w:val="00391533"/>
    <w:rsid w:val="003A4905"/>
    <w:rsid w:val="003B5C68"/>
    <w:rsid w:val="003C0867"/>
    <w:rsid w:val="003D6257"/>
    <w:rsid w:val="003E2102"/>
    <w:rsid w:val="003E2EDD"/>
    <w:rsid w:val="003F1D4B"/>
    <w:rsid w:val="003F37C2"/>
    <w:rsid w:val="00406E9C"/>
    <w:rsid w:val="00414497"/>
    <w:rsid w:val="004164A2"/>
    <w:rsid w:val="00421FAC"/>
    <w:rsid w:val="0042728F"/>
    <w:rsid w:val="004300D0"/>
    <w:rsid w:val="00434A4F"/>
    <w:rsid w:val="00437B0D"/>
    <w:rsid w:val="00443BE5"/>
    <w:rsid w:val="00446CC2"/>
    <w:rsid w:val="004518F0"/>
    <w:rsid w:val="00455A2C"/>
    <w:rsid w:val="0045647E"/>
    <w:rsid w:val="0046417B"/>
    <w:rsid w:val="00470DC6"/>
    <w:rsid w:val="00473E59"/>
    <w:rsid w:val="0049444C"/>
    <w:rsid w:val="004963F7"/>
    <w:rsid w:val="004A28A8"/>
    <w:rsid w:val="004A5AE4"/>
    <w:rsid w:val="004B5110"/>
    <w:rsid w:val="004B74E8"/>
    <w:rsid w:val="004B7C64"/>
    <w:rsid w:val="004C2679"/>
    <w:rsid w:val="004D4073"/>
    <w:rsid w:val="004E10A8"/>
    <w:rsid w:val="004E424B"/>
    <w:rsid w:val="004E5B9B"/>
    <w:rsid w:val="004F576B"/>
    <w:rsid w:val="005075DF"/>
    <w:rsid w:val="00511688"/>
    <w:rsid w:val="005167CF"/>
    <w:rsid w:val="00531EF6"/>
    <w:rsid w:val="00533B76"/>
    <w:rsid w:val="00545043"/>
    <w:rsid w:val="005533FA"/>
    <w:rsid w:val="0055430B"/>
    <w:rsid w:val="00562BD3"/>
    <w:rsid w:val="005717DA"/>
    <w:rsid w:val="00571A7E"/>
    <w:rsid w:val="00573A0C"/>
    <w:rsid w:val="00574D5B"/>
    <w:rsid w:val="0057634B"/>
    <w:rsid w:val="005814AF"/>
    <w:rsid w:val="00581BC7"/>
    <w:rsid w:val="00590F38"/>
    <w:rsid w:val="00596B80"/>
    <w:rsid w:val="00597DCC"/>
    <w:rsid w:val="005A0310"/>
    <w:rsid w:val="005A3DB4"/>
    <w:rsid w:val="005A5D07"/>
    <w:rsid w:val="005A64D2"/>
    <w:rsid w:val="005B1F5E"/>
    <w:rsid w:val="005B28D9"/>
    <w:rsid w:val="005B5506"/>
    <w:rsid w:val="005C0489"/>
    <w:rsid w:val="005C3E0D"/>
    <w:rsid w:val="005C7B7A"/>
    <w:rsid w:val="005D0A83"/>
    <w:rsid w:val="005E1CF7"/>
    <w:rsid w:val="005F50C6"/>
    <w:rsid w:val="00601E99"/>
    <w:rsid w:val="006111E7"/>
    <w:rsid w:val="00615289"/>
    <w:rsid w:val="0061656E"/>
    <w:rsid w:val="00645548"/>
    <w:rsid w:val="006543A0"/>
    <w:rsid w:val="00657330"/>
    <w:rsid w:val="00684936"/>
    <w:rsid w:val="006875DE"/>
    <w:rsid w:val="00691D11"/>
    <w:rsid w:val="00693BB5"/>
    <w:rsid w:val="00694A58"/>
    <w:rsid w:val="006B1108"/>
    <w:rsid w:val="006B6C1B"/>
    <w:rsid w:val="006C39FD"/>
    <w:rsid w:val="006C421F"/>
    <w:rsid w:val="006D0133"/>
    <w:rsid w:val="006D71E1"/>
    <w:rsid w:val="006D7900"/>
    <w:rsid w:val="006E4507"/>
    <w:rsid w:val="006E5A3A"/>
    <w:rsid w:val="006E61AA"/>
    <w:rsid w:val="00700904"/>
    <w:rsid w:val="00702567"/>
    <w:rsid w:val="00704537"/>
    <w:rsid w:val="0071350A"/>
    <w:rsid w:val="00713CBB"/>
    <w:rsid w:val="00715D62"/>
    <w:rsid w:val="00717C48"/>
    <w:rsid w:val="00740355"/>
    <w:rsid w:val="007433C6"/>
    <w:rsid w:val="00744AB7"/>
    <w:rsid w:val="007557DC"/>
    <w:rsid w:val="007650B3"/>
    <w:rsid w:val="00770235"/>
    <w:rsid w:val="007702DA"/>
    <w:rsid w:val="00771DB0"/>
    <w:rsid w:val="0077328B"/>
    <w:rsid w:val="007769CC"/>
    <w:rsid w:val="007836B5"/>
    <w:rsid w:val="00785066"/>
    <w:rsid w:val="007853DA"/>
    <w:rsid w:val="007929E7"/>
    <w:rsid w:val="007970F9"/>
    <w:rsid w:val="007A6B72"/>
    <w:rsid w:val="007B1ED8"/>
    <w:rsid w:val="007B3812"/>
    <w:rsid w:val="007D756B"/>
    <w:rsid w:val="007E7EB7"/>
    <w:rsid w:val="007F3315"/>
    <w:rsid w:val="007F7FF3"/>
    <w:rsid w:val="008008EA"/>
    <w:rsid w:val="0080303E"/>
    <w:rsid w:val="00805C46"/>
    <w:rsid w:val="00812901"/>
    <w:rsid w:val="00816F12"/>
    <w:rsid w:val="00816F41"/>
    <w:rsid w:val="00821005"/>
    <w:rsid w:val="008248F9"/>
    <w:rsid w:val="00833BDF"/>
    <w:rsid w:val="008379FD"/>
    <w:rsid w:val="00845948"/>
    <w:rsid w:val="00847672"/>
    <w:rsid w:val="00853884"/>
    <w:rsid w:val="008546FC"/>
    <w:rsid w:val="00872DE7"/>
    <w:rsid w:val="00876D2B"/>
    <w:rsid w:val="00877DE4"/>
    <w:rsid w:val="008934AE"/>
    <w:rsid w:val="008A4B5A"/>
    <w:rsid w:val="008A65A3"/>
    <w:rsid w:val="008A6669"/>
    <w:rsid w:val="008B02BA"/>
    <w:rsid w:val="008B1844"/>
    <w:rsid w:val="008C400C"/>
    <w:rsid w:val="008D42D5"/>
    <w:rsid w:val="008E6C56"/>
    <w:rsid w:val="008E759C"/>
    <w:rsid w:val="008F7530"/>
    <w:rsid w:val="0090019C"/>
    <w:rsid w:val="0090214A"/>
    <w:rsid w:val="00917C41"/>
    <w:rsid w:val="00920976"/>
    <w:rsid w:val="00934349"/>
    <w:rsid w:val="00940F1C"/>
    <w:rsid w:val="00945F6C"/>
    <w:rsid w:val="00956477"/>
    <w:rsid w:val="0096179F"/>
    <w:rsid w:val="00961843"/>
    <w:rsid w:val="00980608"/>
    <w:rsid w:val="00980C35"/>
    <w:rsid w:val="0098120D"/>
    <w:rsid w:val="009842E6"/>
    <w:rsid w:val="009927E2"/>
    <w:rsid w:val="00993F2C"/>
    <w:rsid w:val="009945B3"/>
    <w:rsid w:val="009A6F59"/>
    <w:rsid w:val="009A7EE9"/>
    <w:rsid w:val="009B48C1"/>
    <w:rsid w:val="009E1311"/>
    <w:rsid w:val="009E30EE"/>
    <w:rsid w:val="009E43BF"/>
    <w:rsid w:val="009F1688"/>
    <w:rsid w:val="00A04496"/>
    <w:rsid w:val="00A04C58"/>
    <w:rsid w:val="00A04D16"/>
    <w:rsid w:val="00A106C7"/>
    <w:rsid w:val="00A1087E"/>
    <w:rsid w:val="00A11DF6"/>
    <w:rsid w:val="00A16800"/>
    <w:rsid w:val="00A17B79"/>
    <w:rsid w:val="00A27599"/>
    <w:rsid w:val="00A656BA"/>
    <w:rsid w:val="00A66227"/>
    <w:rsid w:val="00A712C8"/>
    <w:rsid w:val="00A83EEB"/>
    <w:rsid w:val="00A91B23"/>
    <w:rsid w:val="00A978DD"/>
    <w:rsid w:val="00AA17AC"/>
    <w:rsid w:val="00AB3B8C"/>
    <w:rsid w:val="00AB6C34"/>
    <w:rsid w:val="00AD049C"/>
    <w:rsid w:val="00AE1144"/>
    <w:rsid w:val="00AE43BA"/>
    <w:rsid w:val="00AF5F8D"/>
    <w:rsid w:val="00B02175"/>
    <w:rsid w:val="00B02AEA"/>
    <w:rsid w:val="00B137F1"/>
    <w:rsid w:val="00B33BBD"/>
    <w:rsid w:val="00B407CF"/>
    <w:rsid w:val="00B41158"/>
    <w:rsid w:val="00B44166"/>
    <w:rsid w:val="00B63B5D"/>
    <w:rsid w:val="00B73DF8"/>
    <w:rsid w:val="00B74E0D"/>
    <w:rsid w:val="00B76292"/>
    <w:rsid w:val="00B81326"/>
    <w:rsid w:val="00B932E9"/>
    <w:rsid w:val="00B93374"/>
    <w:rsid w:val="00B97BB5"/>
    <w:rsid w:val="00BA23DA"/>
    <w:rsid w:val="00BB34D1"/>
    <w:rsid w:val="00BB79E8"/>
    <w:rsid w:val="00BD08C6"/>
    <w:rsid w:val="00BF36F3"/>
    <w:rsid w:val="00BF4AB0"/>
    <w:rsid w:val="00C00F30"/>
    <w:rsid w:val="00C038A9"/>
    <w:rsid w:val="00C04FD3"/>
    <w:rsid w:val="00C2063E"/>
    <w:rsid w:val="00C26A84"/>
    <w:rsid w:val="00C307DD"/>
    <w:rsid w:val="00C405A8"/>
    <w:rsid w:val="00C52499"/>
    <w:rsid w:val="00C64A15"/>
    <w:rsid w:val="00C753C4"/>
    <w:rsid w:val="00C771C4"/>
    <w:rsid w:val="00C90CEE"/>
    <w:rsid w:val="00C932C8"/>
    <w:rsid w:val="00CB1AA2"/>
    <w:rsid w:val="00CC6657"/>
    <w:rsid w:val="00CD1C83"/>
    <w:rsid w:val="00CD2E52"/>
    <w:rsid w:val="00CD7A67"/>
    <w:rsid w:val="00CE30A6"/>
    <w:rsid w:val="00CE446D"/>
    <w:rsid w:val="00CE517A"/>
    <w:rsid w:val="00CE5881"/>
    <w:rsid w:val="00CF16F1"/>
    <w:rsid w:val="00CF1E1B"/>
    <w:rsid w:val="00D013DA"/>
    <w:rsid w:val="00D17E7D"/>
    <w:rsid w:val="00D221F3"/>
    <w:rsid w:val="00D230EE"/>
    <w:rsid w:val="00D23516"/>
    <w:rsid w:val="00D2691C"/>
    <w:rsid w:val="00D338C9"/>
    <w:rsid w:val="00D34324"/>
    <w:rsid w:val="00D53C71"/>
    <w:rsid w:val="00D54BDD"/>
    <w:rsid w:val="00D67A22"/>
    <w:rsid w:val="00D722A2"/>
    <w:rsid w:val="00D73529"/>
    <w:rsid w:val="00D757E6"/>
    <w:rsid w:val="00D83404"/>
    <w:rsid w:val="00D8438F"/>
    <w:rsid w:val="00D87062"/>
    <w:rsid w:val="00D90E43"/>
    <w:rsid w:val="00D955EA"/>
    <w:rsid w:val="00D9760C"/>
    <w:rsid w:val="00D979B1"/>
    <w:rsid w:val="00DA01C1"/>
    <w:rsid w:val="00DA1863"/>
    <w:rsid w:val="00DA1DDF"/>
    <w:rsid w:val="00DA5DA5"/>
    <w:rsid w:val="00DA6F12"/>
    <w:rsid w:val="00DA7067"/>
    <w:rsid w:val="00DA78DB"/>
    <w:rsid w:val="00DB0E22"/>
    <w:rsid w:val="00DB415C"/>
    <w:rsid w:val="00DB6950"/>
    <w:rsid w:val="00DC06BA"/>
    <w:rsid w:val="00DD2708"/>
    <w:rsid w:val="00DE28A8"/>
    <w:rsid w:val="00DE5DCF"/>
    <w:rsid w:val="00DE68A5"/>
    <w:rsid w:val="00DF0DC9"/>
    <w:rsid w:val="00E26BEB"/>
    <w:rsid w:val="00E42173"/>
    <w:rsid w:val="00E42DB9"/>
    <w:rsid w:val="00E57D55"/>
    <w:rsid w:val="00E64773"/>
    <w:rsid w:val="00E71A7A"/>
    <w:rsid w:val="00E8568A"/>
    <w:rsid w:val="00E9439C"/>
    <w:rsid w:val="00E96BC0"/>
    <w:rsid w:val="00EA5B1A"/>
    <w:rsid w:val="00EA6FD5"/>
    <w:rsid w:val="00EB1F8B"/>
    <w:rsid w:val="00EC0B0D"/>
    <w:rsid w:val="00EF5CFF"/>
    <w:rsid w:val="00EF6099"/>
    <w:rsid w:val="00F1528A"/>
    <w:rsid w:val="00F23374"/>
    <w:rsid w:val="00F27058"/>
    <w:rsid w:val="00F32E88"/>
    <w:rsid w:val="00F37F4D"/>
    <w:rsid w:val="00F45B48"/>
    <w:rsid w:val="00F51488"/>
    <w:rsid w:val="00F73324"/>
    <w:rsid w:val="00F77BDC"/>
    <w:rsid w:val="00FA0973"/>
    <w:rsid w:val="00FA4A91"/>
    <w:rsid w:val="00FA5A05"/>
    <w:rsid w:val="00FA79E6"/>
    <w:rsid w:val="00FB1023"/>
    <w:rsid w:val="00FB183C"/>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8C2DD"/>
  <w15:docId w15:val="{B272AA6D-F4DB-49D5-89CD-DCA593F8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uiPriority w:val="59"/>
    <w:locked/>
    <w:rsid w:val="003D62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068">
      <w:bodyDiv w:val="1"/>
      <w:marLeft w:val="0"/>
      <w:marRight w:val="0"/>
      <w:marTop w:val="0"/>
      <w:marBottom w:val="0"/>
      <w:divBdr>
        <w:top w:val="none" w:sz="0" w:space="0" w:color="auto"/>
        <w:left w:val="none" w:sz="0" w:space="0" w:color="auto"/>
        <w:bottom w:val="none" w:sz="0" w:space="0" w:color="auto"/>
        <w:right w:val="none" w:sz="0" w:space="0" w:color="auto"/>
      </w:divBdr>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219395297">
                              <w:marLeft w:val="0"/>
                              <w:marRight w:val="0"/>
                              <w:marTop w:val="0"/>
                              <w:marBottom w:val="0"/>
                              <w:divBdr>
                                <w:top w:val="none" w:sz="0" w:space="0" w:color="auto"/>
                                <w:left w:val="none" w:sz="0" w:space="0" w:color="auto"/>
                                <w:bottom w:val="none" w:sz="0" w:space="0" w:color="auto"/>
                                <w:right w:val="none" w:sz="0" w:space="0" w:color="auto"/>
                              </w:divBdr>
                            </w:div>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410664089">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2070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913470756">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050423744">
      <w:bodyDiv w:val="1"/>
      <w:marLeft w:val="0"/>
      <w:marRight w:val="0"/>
      <w:marTop w:val="0"/>
      <w:marBottom w:val="0"/>
      <w:divBdr>
        <w:top w:val="none" w:sz="0" w:space="0" w:color="auto"/>
        <w:left w:val="none" w:sz="0" w:space="0" w:color="auto"/>
        <w:bottom w:val="none" w:sz="0" w:space="0" w:color="auto"/>
        <w:right w:val="none" w:sz="0" w:space="0" w:color="auto"/>
      </w:divBdr>
    </w:div>
    <w:div w:id="1452356426">
      <w:bodyDiv w:val="1"/>
      <w:marLeft w:val="0"/>
      <w:marRight w:val="0"/>
      <w:marTop w:val="0"/>
      <w:marBottom w:val="0"/>
      <w:divBdr>
        <w:top w:val="none" w:sz="0" w:space="0" w:color="auto"/>
        <w:left w:val="none" w:sz="0" w:space="0" w:color="auto"/>
        <w:bottom w:val="none" w:sz="0" w:space="0" w:color="auto"/>
        <w:right w:val="none" w:sz="0" w:space="0" w:color="auto"/>
      </w:divBdr>
    </w:div>
    <w:div w:id="1479224559">
      <w:bodyDiv w:val="1"/>
      <w:marLeft w:val="0"/>
      <w:marRight w:val="0"/>
      <w:marTop w:val="0"/>
      <w:marBottom w:val="0"/>
      <w:divBdr>
        <w:top w:val="none" w:sz="0" w:space="0" w:color="auto"/>
        <w:left w:val="none" w:sz="0" w:space="0" w:color="auto"/>
        <w:bottom w:val="none" w:sz="0" w:space="0" w:color="auto"/>
        <w:right w:val="none" w:sz="0" w:space="0" w:color="auto"/>
      </w:divBdr>
    </w:div>
    <w:div w:id="1553928750">
      <w:bodyDiv w:val="1"/>
      <w:marLeft w:val="0"/>
      <w:marRight w:val="0"/>
      <w:marTop w:val="0"/>
      <w:marBottom w:val="0"/>
      <w:divBdr>
        <w:top w:val="none" w:sz="0" w:space="0" w:color="auto"/>
        <w:left w:val="none" w:sz="0" w:space="0" w:color="auto"/>
        <w:bottom w:val="none" w:sz="0" w:space="0" w:color="auto"/>
        <w:right w:val="none" w:sz="0" w:space="0" w:color="auto"/>
      </w:divBdr>
    </w:div>
    <w:div w:id="1565215207">
      <w:bodyDiv w:val="1"/>
      <w:marLeft w:val="0"/>
      <w:marRight w:val="0"/>
      <w:marTop w:val="0"/>
      <w:marBottom w:val="0"/>
      <w:divBdr>
        <w:top w:val="none" w:sz="0" w:space="0" w:color="auto"/>
        <w:left w:val="none" w:sz="0" w:space="0" w:color="auto"/>
        <w:bottom w:val="none" w:sz="0" w:space="0" w:color="auto"/>
        <w:right w:val="none" w:sz="0" w:space="0" w:color="auto"/>
      </w:divBdr>
    </w:div>
    <w:div w:id="1704592307">
      <w:bodyDiv w:val="1"/>
      <w:marLeft w:val="0"/>
      <w:marRight w:val="0"/>
      <w:marTop w:val="0"/>
      <w:marBottom w:val="0"/>
      <w:divBdr>
        <w:top w:val="none" w:sz="0" w:space="0" w:color="auto"/>
        <w:left w:val="none" w:sz="0" w:space="0" w:color="auto"/>
        <w:bottom w:val="none" w:sz="0" w:space="0" w:color="auto"/>
        <w:right w:val="none" w:sz="0" w:space="0" w:color="auto"/>
      </w:divBdr>
    </w:div>
    <w:div w:id="2001501489">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592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4E43-2B38-4C37-B76E-C076E6ED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NMNED</cp:lastModifiedBy>
  <cp:revision>5</cp:revision>
  <cp:lastPrinted>2016-10-26T07:13:00Z</cp:lastPrinted>
  <dcterms:created xsi:type="dcterms:W3CDTF">2016-10-26T07:19:00Z</dcterms:created>
  <dcterms:modified xsi:type="dcterms:W3CDTF">2016-10-27T07:07:00Z</dcterms:modified>
</cp:coreProperties>
</file>