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4E" w:rsidRDefault="0003754E" w:rsidP="0003754E">
      <w:pPr>
        <w:jc w:val="both"/>
        <w:rPr>
          <w:rFonts w:ascii="Verdana" w:hAnsi="Verdana"/>
          <w:sz w:val="20"/>
          <w:szCs w:val="20"/>
          <w:u w:val="single"/>
        </w:rPr>
      </w:pPr>
    </w:p>
    <w:p w:rsidR="0003754E" w:rsidRDefault="00353C2B" w:rsidP="0003754E">
      <w:pPr>
        <w:jc w:val="both"/>
        <w:rPr>
          <w:rFonts w:ascii="Verdana" w:hAnsi="Verdana"/>
          <w:sz w:val="32"/>
          <w:szCs w:val="32"/>
        </w:rPr>
      </w:pPr>
      <w:r>
        <w:rPr>
          <w:rFonts w:ascii="Verdana" w:hAnsi="Verdana"/>
          <w:sz w:val="20"/>
          <w:szCs w:val="20"/>
          <w:u w:val="single"/>
        </w:rPr>
        <w:t xml:space="preserve">Programa Alojamientos </w:t>
      </w:r>
      <w:r w:rsidR="00992344" w:rsidRPr="00992344">
        <w:rPr>
          <w:rFonts w:ascii="Verdana" w:hAnsi="Verdana"/>
          <w:sz w:val="20"/>
          <w:szCs w:val="20"/>
          <w:u w:val="single"/>
        </w:rPr>
        <w:t xml:space="preserve">con Red </w:t>
      </w:r>
    </w:p>
    <w:p w:rsidR="00D22227" w:rsidRPr="003E30CD" w:rsidRDefault="008A14A8" w:rsidP="00D22227">
      <w:pPr>
        <w:jc w:val="center"/>
        <w:rPr>
          <w:rFonts w:ascii="Verdana" w:hAnsi="Verdana"/>
        </w:rPr>
      </w:pPr>
      <w:r w:rsidRPr="003E30CD">
        <w:rPr>
          <w:rFonts w:ascii="Verdana" w:hAnsi="Verdana"/>
          <w:sz w:val="32"/>
          <w:szCs w:val="32"/>
        </w:rPr>
        <w:t xml:space="preserve">El Ministerio de Industria, Energía y Turismo destina </w:t>
      </w:r>
      <w:r w:rsidR="004723D7">
        <w:rPr>
          <w:rFonts w:ascii="Verdana" w:hAnsi="Verdana"/>
          <w:sz w:val="32"/>
          <w:szCs w:val="32"/>
        </w:rPr>
        <w:t>15</w:t>
      </w:r>
      <w:r w:rsidRPr="003E30CD">
        <w:rPr>
          <w:rFonts w:ascii="Verdana" w:hAnsi="Verdana"/>
          <w:sz w:val="32"/>
          <w:szCs w:val="32"/>
        </w:rPr>
        <w:t xml:space="preserve"> millones de euros en ayudas para el despliegue de redes </w:t>
      </w:r>
      <w:proofErr w:type="spellStart"/>
      <w:r w:rsidRPr="003E30CD">
        <w:rPr>
          <w:rFonts w:ascii="Verdana" w:hAnsi="Verdana"/>
          <w:sz w:val="32"/>
          <w:szCs w:val="32"/>
        </w:rPr>
        <w:t>wifi</w:t>
      </w:r>
      <w:proofErr w:type="spellEnd"/>
      <w:r w:rsidRPr="003E30CD">
        <w:rPr>
          <w:rFonts w:ascii="Verdana" w:hAnsi="Verdana"/>
          <w:sz w:val="32"/>
          <w:szCs w:val="32"/>
        </w:rPr>
        <w:t xml:space="preserve"> en establecimientos hoteleros y campings de toda España</w:t>
      </w:r>
    </w:p>
    <w:p w:rsidR="0003754E" w:rsidRDefault="0003754E" w:rsidP="007D155A">
      <w:pPr>
        <w:jc w:val="both"/>
        <w:rPr>
          <w:rFonts w:ascii="Verdana" w:hAnsi="Verdana"/>
          <w:b/>
          <w:sz w:val="24"/>
          <w:szCs w:val="24"/>
        </w:rPr>
      </w:pPr>
    </w:p>
    <w:p w:rsidR="00353C2B" w:rsidRDefault="008A14A8" w:rsidP="007D155A">
      <w:pPr>
        <w:jc w:val="both"/>
        <w:rPr>
          <w:rFonts w:ascii="Verdana" w:hAnsi="Verdana"/>
          <w:sz w:val="24"/>
          <w:szCs w:val="24"/>
        </w:rPr>
      </w:pPr>
      <w:r w:rsidRPr="003E30CD">
        <w:rPr>
          <w:rFonts w:ascii="Verdana" w:hAnsi="Verdana"/>
          <w:b/>
          <w:sz w:val="24"/>
          <w:szCs w:val="24"/>
        </w:rPr>
        <w:t xml:space="preserve">Madrid, 28 de </w:t>
      </w:r>
      <w:r w:rsidR="00E33195">
        <w:rPr>
          <w:rFonts w:ascii="Verdana" w:hAnsi="Verdana"/>
          <w:b/>
          <w:sz w:val="24"/>
          <w:szCs w:val="24"/>
        </w:rPr>
        <w:t>s</w:t>
      </w:r>
      <w:r w:rsidRPr="003E30CD">
        <w:rPr>
          <w:rFonts w:ascii="Verdana" w:hAnsi="Verdana"/>
          <w:b/>
          <w:sz w:val="24"/>
          <w:szCs w:val="24"/>
        </w:rPr>
        <w:t>eptiembre de 2015.-</w:t>
      </w:r>
      <w:r w:rsidR="003E30CD">
        <w:rPr>
          <w:rFonts w:ascii="Verdana" w:hAnsi="Verdana"/>
          <w:sz w:val="24"/>
          <w:szCs w:val="24"/>
        </w:rPr>
        <w:t xml:space="preserve"> </w:t>
      </w:r>
      <w:r w:rsidRPr="003E30CD">
        <w:rPr>
          <w:rFonts w:ascii="Verdana" w:hAnsi="Verdana"/>
          <w:sz w:val="24"/>
          <w:szCs w:val="24"/>
        </w:rPr>
        <w:t>El Ministerio de Industria, Energía y Turismo ha presentado hoy a través de su Secretario de Estado de Telecomunicaciones y para la Sociedad de la Información, Víctor Calvo-Sotelo,</w:t>
      </w:r>
      <w:r w:rsidR="004B2BCB">
        <w:rPr>
          <w:rFonts w:ascii="Verdana" w:hAnsi="Verdana"/>
          <w:sz w:val="24"/>
          <w:szCs w:val="24"/>
        </w:rPr>
        <w:t xml:space="preserve"> la iniciativa “Alojamientos c</w:t>
      </w:r>
      <w:r w:rsidR="004B2BCB" w:rsidRPr="00353C2B">
        <w:rPr>
          <w:rFonts w:ascii="Verdana" w:hAnsi="Verdana"/>
          <w:sz w:val="24"/>
          <w:szCs w:val="24"/>
        </w:rPr>
        <w:t>on Red</w:t>
      </w:r>
      <w:r w:rsidR="004B2BCB">
        <w:rPr>
          <w:rFonts w:ascii="Verdana" w:hAnsi="Verdana"/>
          <w:sz w:val="24"/>
          <w:szCs w:val="24"/>
        </w:rPr>
        <w:t>”, una convocatoria de a</w:t>
      </w:r>
      <w:r w:rsidR="00353C2B" w:rsidRPr="00353C2B">
        <w:rPr>
          <w:rFonts w:ascii="Verdana" w:hAnsi="Verdana"/>
          <w:sz w:val="24"/>
          <w:szCs w:val="24"/>
        </w:rPr>
        <w:t xml:space="preserve">yudas </w:t>
      </w:r>
      <w:r w:rsidR="004B2BCB">
        <w:rPr>
          <w:rFonts w:ascii="Verdana" w:hAnsi="Verdana"/>
          <w:sz w:val="24"/>
          <w:szCs w:val="24"/>
        </w:rPr>
        <w:t>que se enmarca en el  “Segundo P</w:t>
      </w:r>
      <w:r w:rsidR="00353C2B" w:rsidRPr="00353C2B">
        <w:rPr>
          <w:rFonts w:ascii="Verdana" w:hAnsi="Verdana"/>
          <w:sz w:val="24"/>
          <w:szCs w:val="24"/>
        </w:rPr>
        <w:t>rograma de Mejora de la Conectividad Inalámbrica del Sector Hotelero</w:t>
      </w:r>
      <w:r w:rsidR="004B2BCB">
        <w:rPr>
          <w:rFonts w:ascii="Verdana" w:hAnsi="Verdana"/>
          <w:sz w:val="24"/>
          <w:szCs w:val="24"/>
        </w:rPr>
        <w:t xml:space="preserve">”.  </w:t>
      </w:r>
    </w:p>
    <w:p w:rsidR="00F930C5" w:rsidRDefault="0011545F" w:rsidP="007D155A">
      <w:pPr>
        <w:jc w:val="both"/>
        <w:rPr>
          <w:rFonts w:ascii="Verdana" w:hAnsi="Verdana"/>
          <w:sz w:val="24"/>
          <w:szCs w:val="24"/>
        </w:rPr>
      </w:pPr>
      <w:r>
        <w:rPr>
          <w:rFonts w:ascii="Verdana" w:hAnsi="Verdana"/>
          <w:sz w:val="24"/>
          <w:szCs w:val="24"/>
        </w:rPr>
        <w:t xml:space="preserve">Al acto </w:t>
      </w:r>
      <w:r w:rsidR="004B2BCB">
        <w:rPr>
          <w:rFonts w:ascii="Verdana" w:hAnsi="Verdana"/>
          <w:sz w:val="24"/>
          <w:szCs w:val="24"/>
        </w:rPr>
        <w:t xml:space="preserve">de presentación </w:t>
      </w:r>
      <w:r>
        <w:rPr>
          <w:rFonts w:ascii="Verdana" w:hAnsi="Verdana"/>
          <w:sz w:val="24"/>
          <w:szCs w:val="24"/>
        </w:rPr>
        <w:t>acudieron la Secretaria de E</w:t>
      </w:r>
      <w:r w:rsidRPr="0011545F">
        <w:rPr>
          <w:rFonts w:ascii="Verdana" w:hAnsi="Verdana"/>
          <w:sz w:val="24"/>
          <w:szCs w:val="24"/>
        </w:rPr>
        <w:t>stado de Turismo, Isabel M</w:t>
      </w:r>
      <w:r>
        <w:rPr>
          <w:rFonts w:ascii="Verdana" w:hAnsi="Verdana"/>
          <w:sz w:val="24"/>
          <w:szCs w:val="24"/>
        </w:rPr>
        <w:t xml:space="preserve">aría </w:t>
      </w:r>
      <w:r w:rsidRPr="0011545F">
        <w:rPr>
          <w:rFonts w:ascii="Verdana" w:hAnsi="Verdana"/>
          <w:sz w:val="24"/>
          <w:szCs w:val="24"/>
        </w:rPr>
        <w:t>Borrego</w:t>
      </w:r>
      <w:r>
        <w:rPr>
          <w:rFonts w:ascii="Verdana" w:hAnsi="Verdana"/>
          <w:sz w:val="24"/>
          <w:szCs w:val="24"/>
        </w:rPr>
        <w:t>, el director g</w:t>
      </w:r>
      <w:r w:rsidRPr="0011545F">
        <w:rPr>
          <w:rFonts w:ascii="Verdana" w:hAnsi="Verdana"/>
          <w:sz w:val="24"/>
          <w:szCs w:val="24"/>
        </w:rPr>
        <w:t>eneral de Red.es, Daniel Noguera</w:t>
      </w:r>
      <w:r>
        <w:rPr>
          <w:rFonts w:ascii="Verdana" w:hAnsi="Verdana"/>
          <w:sz w:val="24"/>
          <w:szCs w:val="24"/>
        </w:rPr>
        <w:t xml:space="preserve">, </w:t>
      </w:r>
      <w:r w:rsidR="00F930C5">
        <w:rPr>
          <w:rFonts w:ascii="Verdana" w:hAnsi="Verdana"/>
          <w:sz w:val="24"/>
          <w:szCs w:val="24"/>
        </w:rPr>
        <w:t xml:space="preserve">y </w:t>
      </w:r>
      <w:r w:rsidR="00F930C5" w:rsidRPr="00F930C5">
        <w:rPr>
          <w:rFonts w:ascii="Verdana" w:hAnsi="Verdana"/>
          <w:sz w:val="24"/>
          <w:szCs w:val="24"/>
        </w:rPr>
        <w:t>representantes de SEGITTUR, CEHAT, ITH, ATA,</w:t>
      </w:r>
      <w:r w:rsidR="00A34454">
        <w:rPr>
          <w:rFonts w:ascii="Verdana" w:hAnsi="Verdana"/>
          <w:sz w:val="24"/>
          <w:szCs w:val="24"/>
        </w:rPr>
        <w:t xml:space="preserve"> UPTA, AMETIC, CONETIC </w:t>
      </w:r>
      <w:r w:rsidR="00F930C5" w:rsidRPr="00F930C5">
        <w:rPr>
          <w:rFonts w:ascii="Verdana" w:hAnsi="Verdana"/>
          <w:sz w:val="24"/>
          <w:szCs w:val="24"/>
        </w:rPr>
        <w:t>y de las Consejerías de Turismo de cada Comunidad y Ciudad Autónoma beneficiadas.</w:t>
      </w:r>
    </w:p>
    <w:p w:rsidR="00D22227" w:rsidRDefault="004B2BCB" w:rsidP="007D155A">
      <w:pPr>
        <w:jc w:val="both"/>
        <w:rPr>
          <w:rFonts w:ascii="Verdana" w:hAnsi="Verdana"/>
          <w:sz w:val="24"/>
          <w:szCs w:val="24"/>
        </w:rPr>
      </w:pPr>
      <w:r>
        <w:rPr>
          <w:rFonts w:ascii="Verdana" w:hAnsi="Verdana"/>
          <w:sz w:val="24"/>
          <w:szCs w:val="24"/>
        </w:rPr>
        <w:t xml:space="preserve">Esta acción ministerial </w:t>
      </w:r>
      <w:r w:rsidR="00353C2B">
        <w:rPr>
          <w:rFonts w:ascii="Verdana" w:hAnsi="Verdana"/>
          <w:sz w:val="24"/>
          <w:szCs w:val="24"/>
        </w:rPr>
        <w:t xml:space="preserve">permitirá desplegar o mejorar las </w:t>
      </w:r>
      <w:r w:rsidR="00353C2B" w:rsidRPr="00353C2B">
        <w:rPr>
          <w:rFonts w:ascii="Verdana" w:hAnsi="Verdana"/>
          <w:sz w:val="24"/>
          <w:szCs w:val="24"/>
        </w:rPr>
        <w:t xml:space="preserve">redes </w:t>
      </w:r>
      <w:proofErr w:type="spellStart"/>
      <w:r w:rsidR="00353C2B">
        <w:rPr>
          <w:rFonts w:ascii="Verdana" w:hAnsi="Verdana"/>
          <w:sz w:val="24"/>
          <w:szCs w:val="24"/>
        </w:rPr>
        <w:t>wifi</w:t>
      </w:r>
      <w:proofErr w:type="spellEnd"/>
      <w:r w:rsidR="00353C2B">
        <w:rPr>
          <w:rFonts w:ascii="Verdana" w:hAnsi="Verdana"/>
          <w:sz w:val="24"/>
          <w:szCs w:val="24"/>
        </w:rPr>
        <w:t xml:space="preserve"> </w:t>
      </w:r>
      <w:r w:rsidR="00353C2B" w:rsidRPr="00353C2B">
        <w:rPr>
          <w:rFonts w:ascii="Verdana" w:hAnsi="Verdana"/>
          <w:sz w:val="24"/>
          <w:szCs w:val="24"/>
        </w:rPr>
        <w:t xml:space="preserve">de </w:t>
      </w:r>
      <w:r w:rsidR="0011545F">
        <w:rPr>
          <w:rFonts w:ascii="Verdana" w:hAnsi="Verdana"/>
          <w:sz w:val="24"/>
          <w:szCs w:val="24"/>
        </w:rPr>
        <w:t xml:space="preserve">establecimientos </w:t>
      </w:r>
      <w:r w:rsidR="00CB5C19">
        <w:rPr>
          <w:rFonts w:ascii="Verdana" w:hAnsi="Verdana"/>
          <w:sz w:val="24"/>
          <w:szCs w:val="24"/>
        </w:rPr>
        <w:t>hoteleros</w:t>
      </w:r>
      <w:r w:rsidR="0011545F">
        <w:rPr>
          <w:rFonts w:ascii="Verdana" w:hAnsi="Verdana"/>
          <w:sz w:val="24"/>
          <w:szCs w:val="24"/>
        </w:rPr>
        <w:t xml:space="preserve">, </w:t>
      </w:r>
      <w:r w:rsidR="00DC5CE7">
        <w:rPr>
          <w:rFonts w:ascii="Verdana" w:hAnsi="Verdana"/>
          <w:sz w:val="24"/>
          <w:szCs w:val="24"/>
        </w:rPr>
        <w:t xml:space="preserve">alojamientos </w:t>
      </w:r>
      <w:r w:rsidR="0011545F" w:rsidRPr="0011545F">
        <w:rPr>
          <w:rFonts w:ascii="Verdana" w:hAnsi="Verdana"/>
          <w:sz w:val="24"/>
          <w:szCs w:val="24"/>
        </w:rPr>
        <w:t>rurales</w:t>
      </w:r>
      <w:r w:rsidR="0011545F">
        <w:rPr>
          <w:rFonts w:ascii="Verdana" w:hAnsi="Verdana"/>
          <w:sz w:val="24"/>
          <w:szCs w:val="24"/>
        </w:rPr>
        <w:t>, c</w:t>
      </w:r>
      <w:r w:rsidR="0011545F" w:rsidRPr="0011545F">
        <w:rPr>
          <w:rFonts w:ascii="Verdana" w:hAnsi="Verdana"/>
          <w:sz w:val="24"/>
          <w:szCs w:val="24"/>
        </w:rPr>
        <w:t xml:space="preserve">ampings y </w:t>
      </w:r>
      <w:proofErr w:type="gramStart"/>
      <w:r w:rsidR="0011545F" w:rsidRPr="0011545F">
        <w:rPr>
          <w:rFonts w:ascii="Verdana" w:hAnsi="Verdana"/>
          <w:sz w:val="24"/>
          <w:szCs w:val="24"/>
        </w:rPr>
        <w:t>aparcamientos</w:t>
      </w:r>
      <w:proofErr w:type="gramEnd"/>
      <w:r w:rsidR="0011545F" w:rsidRPr="0011545F">
        <w:rPr>
          <w:rFonts w:ascii="Verdana" w:hAnsi="Verdana"/>
          <w:sz w:val="24"/>
          <w:szCs w:val="24"/>
        </w:rPr>
        <w:t xml:space="preserve"> para caravanas</w:t>
      </w:r>
      <w:r w:rsidR="00C02B84">
        <w:rPr>
          <w:rFonts w:ascii="Verdana" w:hAnsi="Verdana"/>
          <w:sz w:val="24"/>
          <w:szCs w:val="24"/>
        </w:rPr>
        <w:t xml:space="preserve"> de </w:t>
      </w:r>
      <w:r w:rsidR="004723D7">
        <w:rPr>
          <w:rFonts w:ascii="Verdana" w:hAnsi="Verdana"/>
          <w:sz w:val="24"/>
          <w:szCs w:val="24"/>
        </w:rPr>
        <w:t xml:space="preserve">toda España con el fin de </w:t>
      </w:r>
      <w:r w:rsidR="00353C2B" w:rsidRPr="00353C2B">
        <w:rPr>
          <w:rFonts w:ascii="Verdana" w:hAnsi="Verdana"/>
          <w:sz w:val="24"/>
          <w:szCs w:val="24"/>
        </w:rPr>
        <w:t xml:space="preserve">ofrecer </w:t>
      </w:r>
      <w:r w:rsidR="004723D7">
        <w:rPr>
          <w:rFonts w:ascii="Verdana" w:hAnsi="Verdana"/>
          <w:sz w:val="24"/>
          <w:szCs w:val="24"/>
        </w:rPr>
        <w:t xml:space="preserve">en cada negocio </w:t>
      </w:r>
      <w:r w:rsidR="00353C2B" w:rsidRPr="00353C2B">
        <w:rPr>
          <w:rFonts w:ascii="Verdana" w:hAnsi="Verdana"/>
          <w:sz w:val="24"/>
          <w:szCs w:val="24"/>
        </w:rPr>
        <w:t xml:space="preserve">un servicio gratuito </w:t>
      </w:r>
      <w:r w:rsidR="004723D7">
        <w:rPr>
          <w:rFonts w:ascii="Verdana" w:hAnsi="Verdana"/>
          <w:sz w:val="24"/>
          <w:szCs w:val="24"/>
        </w:rPr>
        <w:t xml:space="preserve">y </w:t>
      </w:r>
      <w:r w:rsidR="00353C2B" w:rsidRPr="00353C2B">
        <w:rPr>
          <w:rFonts w:ascii="Verdana" w:hAnsi="Verdana"/>
          <w:sz w:val="24"/>
          <w:szCs w:val="24"/>
        </w:rPr>
        <w:t>de calidad a los clientes</w:t>
      </w:r>
      <w:r w:rsidR="004723D7">
        <w:rPr>
          <w:rFonts w:ascii="Verdana" w:hAnsi="Verdana"/>
          <w:sz w:val="24"/>
          <w:szCs w:val="24"/>
        </w:rPr>
        <w:t xml:space="preserve">. </w:t>
      </w:r>
    </w:p>
    <w:p w:rsidR="004723D7" w:rsidRDefault="004723D7" w:rsidP="007D155A">
      <w:pPr>
        <w:jc w:val="both"/>
        <w:rPr>
          <w:rFonts w:ascii="Verdana" w:hAnsi="Verdana"/>
          <w:sz w:val="24"/>
          <w:szCs w:val="24"/>
        </w:rPr>
      </w:pPr>
      <w:r>
        <w:rPr>
          <w:rFonts w:ascii="Verdana" w:hAnsi="Verdana"/>
          <w:sz w:val="24"/>
          <w:szCs w:val="24"/>
        </w:rPr>
        <w:t>E</w:t>
      </w:r>
      <w:r w:rsidR="008A14A8" w:rsidRPr="003E30CD">
        <w:rPr>
          <w:rFonts w:ascii="Verdana" w:hAnsi="Verdana"/>
          <w:sz w:val="24"/>
          <w:szCs w:val="24"/>
        </w:rPr>
        <w:t>st</w:t>
      </w:r>
      <w:r w:rsidR="004B2BCB">
        <w:rPr>
          <w:rFonts w:ascii="Verdana" w:hAnsi="Verdana"/>
          <w:sz w:val="24"/>
          <w:szCs w:val="24"/>
        </w:rPr>
        <w:t>e</w:t>
      </w:r>
      <w:r w:rsidR="008A14A8" w:rsidRPr="003E30CD">
        <w:rPr>
          <w:rFonts w:ascii="Verdana" w:hAnsi="Verdana"/>
          <w:sz w:val="24"/>
          <w:szCs w:val="24"/>
        </w:rPr>
        <w:t xml:space="preserve"> </w:t>
      </w:r>
      <w:r w:rsidR="004B2BCB">
        <w:rPr>
          <w:rFonts w:ascii="Verdana" w:hAnsi="Verdana"/>
          <w:sz w:val="24"/>
          <w:szCs w:val="24"/>
        </w:rPr>
        <w:t>programa de ayudas</w:t>
      </w:r>
      <w:r w:rsidR="008A14A8" w:rsidRPr="003E30CD">
        <w:rPr>
          <w:rFonts w:ascii="Verdana" w:hAnsi="Verdana"/>
          <w:sz w:val="24"/>
          <w:szCs w:val="24"/>
        </w:rPr>
        <w:t xml:space="preserve"> que gestionará la entidad pública Red.es </w:t>
      </w:r>
      <w:r>
        <w:rPr>
          <w:rFonts w:ascii="Verdana" w:hAnsi="Verdana"/>
          <w:sz w:val="24"/>
          <w:szCs w:val="24"/>
        </w:rPr>
        <w:t>está dotad</w:t>
      </w:r>
      <w:r w:rsidR="004B2BCB">
        <w:rPr>
          <w:rFonts w:ascii="Verdana" w:hAnsi="Verdana"/>
          <w:sz w:val="24"/>
          <w:szCs w:val="24"/>
        </w:rPr>
        <w:t>o</w:t>
      </w:r>
      <w:r>
        <w:rPr>
          <w:rFonts w:ascii="Verdana" w:hAnsi="Verdana"/>
          <w:sz w:val="24"/>
          <w:szCs w:val="24"/>
        </w:rPr>
        <w:t xml:space="preserve"> con un presupuesto total de 15 millones de euros y contempla </w:t>
      </w:r>
      <w:r w:rsidR="00CB5C19" w:rsidRPr="003E30CD">
        <w:rPr>
          <w:rFonts w:ascii="Verdana" w:hAnsi="Verdana"/>
          <w:sz w:val="24"/>
          <w:szCs w:val="24"/>
        </w:rPr>
        <w:t>un</w:t>
      </w:r>
      <w:r w:rsidR="00CB5C19">
        <w:rPr>
          <w:rFonts w:ascii="Verdana" w:hAnsi="Verdana"/>
          <w:sz w:val="24"/>
          <w:szCs w:val="24"/>
        </w:rPr>
        <w:t>a ayuda máxima</w:t>
      </w:r>
      <w:r w:rsidR="00CB5C19" w:rsidRPr="003E30CD">
        <w:rPr>
          <w:rFonts w:ascii="Verdana" w:hAnsi="Verdana"/>
          <w:sz w:val="24"/>
          <w:szCs w:val="24"/>
        </w:rPr>
        <w:t xml:space="preserve"> por beneficiario de 25.000 euros</w:t>
      </w:r>
      <w:r w:rsidR="00CB5C19">
        <w:rPr>
          <w:rFonts w:ascii="Verdana" w:hAnsi="Verdana"/>
          <w:sz w:val="24"/>
          <w:szCs w:val="24"/>
        </w:rPr>
        <w:t>.</w:t>
      </w:r>
      <w:r w:rsidR="00CB5C19" w:rsidRPr="003E30CD">
        <w:rPr>
          <w:rFonts w:ascii="Verdana" w:hAnsi="Verdana"/>
          <w:sz w:val="24"/>
          <w:szCs w:val="24"/>
        </w:rPr>
        <w:t xml:space="preserve"> </w:t>
      </w:r>
      <w:r>
        <w:rPr>
          <w:rFonts w:ascii="Verdana" w:hAnsi="Verdana"/>
          <w:sz w:val="24"/>
          <w:szCs w:val="24"/>
        </w:rPr>
        <w:t>. El plazo de</w:t>
      </w:r>
      <w:r w:rsidR="003E30CD" w:rsidRPr="003E30CD">
        <w:rPr>
          <w:rFonts w:ascii="Verdana" w:hAnsi="Verdana"/>
          <w:sz w:val="24"/>
          <w:szCs w:val="24"/>
        </w:rPr>
        <w:t xml:space="preserve"> solicitud</w:t>
      </w:r>
      <w:r>
        <w:rPr>
          <w:rFonts w:ascii="Verdana" w:hAnsi="Verdana"/>
          <w:sz w:val="24"/>
          <w:szCs w:val="24"/>
        </w:rPr>
        <w:t>es estará abierto entre el 15 de octubre próximo y el 16 de n</w:t>
      </w:r>
      <w:r w:rsidR="003E30CD" w:rsidRPr="003E30CD">
        <w:rPr>
          <w:rFonts w:ascii="Verdana" w:hAnsi="Verdana"/>
          <w:sz w:val="24"/>
          <w:szCs w:val="24"/>
        </w:rPr>
        <w:t>oviembre</w:t>
      </w:r>
      <w:r>
        <w:rPr>
          <w:rFonts w:ascii="Verdana" w:hAnsi="Verdana"/>
          <w:sz w:val="24"/>
          <w:szCs w:val="24"/>
        </w:rPr>
        <w:t xml:space="preserve"> de 201</w:t>
      </w:r>
      <w:r w:rsidR="00E1663B">
        <w:rPr>
          <w:rFonts w:ascii="Verdana" w:hAnsi="Verdana"/>
          <w:sz w:val="24"/>
          <w:szCs w:val="24"/>
        </w:rPr>
        <w:t>5</w:t>
      </w:r>
      <w:r>
        <w:rPr>
          <w:rFonts w:ascii="Verdana" w:hAnsi="Verdana"/>
          <w:sz w:val="24"/>
          <w:szCs w:val="24"/>
        </w:rPr>
        <w:t xml:space="preserve"> según se explica en </w:t>
      </w:r>
      <w:r w:rsidR="007956F8">
        <w:rPr>
          <w:rFonts w:ascii="Verdana" w:hAnsi="Verdana"/>
          <w:sz w:val="24"/>
          <w:szCs w:val="24"/>
        </w:rPr>
        <w:t xml:space="preserve">las bases de la convocatoria </w:t>
      </w:r>
      <w:r>
        <w:rPr>
          <w:rFonts w:ascii="Verdana" w:hAnsi="Verdana"/>
          <w:sz w:val="24"/>
          <w:szCs w:val="24"/>
        </w:rPr>
        <w:t>disponible</w:t>
      </w:r>
      <w:r w:rsidR="007956F8">
        <w:rPr>
          <w:rFonts w:ascii="Verdana" w:hAnsi="Verdana"/>
          <w:sz w:val="24"/>
          <w:szCs w:val="24"/>
        </w:rPr>
        <w:t>s</w:t>
      </w:r>
      <w:r>
        <w:rPr>
          <w:rFonts w:ascii="Verdana" w:hAnsi="Verdana"/>
          <w:sz w:val="24"/>
          <w:szCs w:val="24"/>
        </w:rPr>
        <w:t xml:space="preserve"> en el siguiente enlace: </w:t>
      </w:r>
      <w:hyperlink r:id="rId9" w:history="1">
        <w:r w:rsidR="007956F8" w:rsidRPr="00E25FCD">
          <w:rPr>
            <w:rStyle w:val="Hipervnculo"/>
            <w:rFonts w:ascii="Verdana" w:hAnsi="Verdana"/>
            <w:sz w:val="24"/>
            <w:szCs w:val="24"/>
          </w:rPr>
          <w:t>http://bit.ly/1QVZTP4</w:t>
        </w:r>
      </w:hyperlink>
      <w:r w:rsidR="007956F8">
        <w:rPr>
          <w:rFonts w:ascii="Verdana" w:hAnsi="Verdana"/>
          <w:sz w:val="24"/>
          <w:szCs w:val="24"/>
        </w:rPr>
        <w:t xml:space="preserve"> </w:t>
      </w:r>
    </w:p>
    <w:p w:rsidR="004B2BCB" w:rsidRDefault="004B2BCB" w:rsidP="007D155A">
      <w:pPr>
        <w:jc w:val="both"/>
        <w:rPr>
          <w:rFonts w:ascii="Verdana" w:hAnsi="Verdana"/>
          <w:sz w:val="24"/>
          <w:szCs w:val="24"/>
        </w:rPr>
      </w:pPr>
      <w:r>
        <w:rPr>
          <w:rFonts w:ascii="Verdana" w:hAnsi="Verdana"/>
          <w:sz w:val="24"/>
          <w:szCs w:val="24"/>
        </w:rPr>
        <w:t xml:space="preserve">En la anterior convocatoria bajo la denominación “Hoteles con Red” resultaron beneficiados 425 establecimientos hoteleros repartidos por Galicia, Asturias, Castilla y León, Extremadura, Castilla – La Mancha, </w:t>
      </w:r>
      <w:r>
        <w:rPr>
          <w:rFonts w:ascii="Verdana" w:hAnsi="Verdana"/>
          <w:sz w:val="24"/>
          <w:szCs w:val="24"/>
        </w:rPr>
        <w:lastRenderedPageBreak/>
        <w:t xml:space="preserve">Comunidad Valencia, Región de Murcia, Andalucía e Islas Canarias. </w:t>
      </w:r>
      <w:r w:rsidR="00AC6344">
        <w:rPr>
          <w:rFonts w:ascii="Verdana" w:hAnsi="Verdana"/>
          <w:sz w:val="24"/>
          <w:szCs w:val="24"/>
        </w:rPr>
        <w:t xml:space="preserve">Un 65% de los empresarios encuestados declararon que entre los motivos para participar estaba la </w:t>
      </w:r>
      <w:r w:rsidR="00AC6344" w:rsidRPr="00AC6344">
        <w:rPr>
          <w:rFonts w:ascii="Verdana" w:hAnsi="Verdana"/>
          <w:sz w:val="24"/>
          <w:szCs w:val="24"/>
        </w:rPr>
        <w:t>mejora</w:t>
      </w:r>
      <w:r w:rsidR="00AC6344">
        <w:rPr>
          <w:rFonts w:ascii="Verdana" w:hAnsi="Verdana"/>
          <w:sz w:val="24"/>
          <w:szCs w:val="24"/>
        </w:rPr>
        <w:t xml:space="preserve"> de </w:t>
      </w:r>
      <w:r w:rsidR="00AC6344" w:rsidRPr="00AC6344">
        <w:rPr>
          <w:rFonts w:ascii="Verdana" w:hAnsi="Verdana"/>
          <w:sz w:val="24"/>
          <w:szCs w:val="24"/>
        </w:rPr>
        <w:t>los servicios prestados a sus clientes</w:t>
      </w:r>
      <w:r w:rsidR="00AC6344">
        <w:rPr>
          <w:rFonts w:ascii="Verdana" w:hAnsi="Verdana"/>
          <w:sz w:val="24"/>
          <w:szCs w:val="24"/>
        </w:rPr>
        <w:t xml:space="preserve">. </w:t>
      </w:r>
    </w:p>
    <w:p w:rsidR="004723D7" w:rsidRPr="007D155A" w:rsidRDefault="004723D7" w:rsidP="007D155A">
      <w:pPr>
        <w:jc w:val="both"/>
        <w:rPr>
          <w:rFonts w:ascii="Verdana" w:hAnsi="Verdana"/>
          <w:b/>
          <w:sz w:val="24"/>
          <w:szCs w:val="24"/>
        </w:rPr>
      </w:pPr>
      <w:r w:rsidRPr="007D155A">
        <w:rPr>
          <w:rFonts w:ascii="Verdana" w:hAnsi="Verdana"/>
          <w:b/>
          <w:sz w:val="24"/>
          <w:szCs w:val="24"/>
        </w:rPr>
        <w:t>Requisitos de los solicitantes</w:t>
      </w:r>
    </w:p>
    <w:p w:rsidR="007D155A" w:rsidRPr="007D155A" w:rsidRDefault="007956F8" w:rsidP="00DC5CE7">
      <w:pPr>
        <w:jc w:val="both"/>
        <w:rPr>
          <w:rFonts w:ascii="Verdana" w:hAnsi="Verdana"/>
          <w:sz w:val="24"/>
          <w:szCs w:val="24"/>
        </w:rPr>
      </w:pPr>
      <w:r>
        <w:rPr>
          <w:rFonts w:ascii="Verdana" w:hAnsi="Verdana"/>
          <w:sz w:val="24"/>
          <w:szCs w:val="24"/>
        </w:rPr>
        <w:t xml:space="preserve">Los </w:t>
      </w:r>
      <w:r w:rsidR="00AC6344">
        <w:rPr>
          <w:rFonts w:ascii="Verdana" w:hAnsi="Verdana"/>
          <w:sz w:val="24"/>
          <w:szCs w:val="24"/>
        </w:rPr>
        <w:t xml:space="preserve">solicitantes </w:t>
      </w:r>
      <w:r w:rsidR="00DC5CE7">
        <w:rPr>
          <w:rFonts w:ascii="Verdana" w:hAnsi="Verdana"/>
          <w:sz w:val="24"/>
          <w:szCs w:val="24"/>
        </w:rPr>
        <w:t>del programa “Alojamientos c</w:t>
      </w:r>
      <w:r w:rsidR="00DC5CE7" w:rsidRPr="00353C2B">
        <w:rPr>
          <w:rFonts w:ascii="Verdana" w:hAnsi="Verdana"/>
          <w:sz w:val="24"/>
          <w:szCs w:val="24"/>
        </w:rPr>
        <w:t>on Red</w:t>
      </w:r>
      <w:r w:rsidR="00DC5CE7">
        <w:rPr>
          <w:rFonts w:ascii="Verdana" w:hAnsi="Verdana"/>
          <w:sz w:val="24"/>
          <w:szCs w:val="24"/>
        </w:rPr>
        <w:t>” debe</w:t>
      </w:r>
      <w:r w:rsidR="00AC6344">
        <w:rPr>
          <w:rFonts w:ascii="Verdana" w:hAnsi="Verdana"/>
          <w:sz w:val="24"/>
          <w:szCs w:val="24"/>
        </w:rPr>
        <w:t xml:space="preserve">n </w:t>
      </w:r>
      <w:r>
        <w:rPr>
          <w:rFonts w:ascii="Verdana" w:hAnsi="Verdana"/>
          <w:sz w:val="24"/>
          <w:szCs w:val="24"/>
        </w:rPr>
        <w:t>d</w:t>
      </w:r>
      <w:r w:rsidR="004723D7" w:rsidRPr="007956F8">
        <w:rPr>
          <w:rFonts w:ascii="Verdana" w:hAnsi="Verdana"/>
          <w:sz w:val="24"/>
          <w:szCs w:val="24"/>
        </w:rPr>
        <w:t xml:space="preserve">esarrollar </w:t>
      </w:r>
      <w:r>
        <w:rPr>
          <w:rFonts w:ascii="Verdana" w:hAnsi="Verdana"/>
          <w:sz w:val="24"/>
          <w:szCs w:val="24"/>
        </w:rPr>
        <w:t xml:space="preserve">alguna de las </w:t>
      </w:r>
      <w:r w:rsidR="004723D7" w:rsidRPr="007956F8">
        <w:rPr>
          <w:rFonts w:ascii="Verdana" w:hAnsi="Verdana"/>
          <w:sz w:val="24"/>
          <w:szCs w:val="24"/>
        </w:rPr>
        <w:t>actividad</w:t>
      </w:r>
      <w:r>
        <w:rPr>
          <w:rFonts w:ascii="Verdana" w:hAnsi="Verdana"/>
          <w:sz w:val="24"/>
          <w:szCs w:val="24"/>
        </w:rPr>
        <w:t>es</w:t>
      </w:r>
      <w:r w:rsidR="004723D7" w:rsidRPr="007956F8">
        <w:rPr>
          <w:rFonts w:ascii="Verdana" w:hAnsi="Verdana"/>
          <w:sz w:val="24"/>
          <w:szCs w:val="24"/>
        </w:rPr>
        <w:t xml:space="preserve"> clasificada</w:t>
      </w:r>
      <w:r>
        <w:rPr>
          <w:rFonts w:ascii="Verdana" w:hAnsi="Verdana"/>
          <w:sz w:val="24"/>
          <w:szCs w:val="24"/>
        </w:rPr>
        <w:t>s</w:t>
      </w:r>
      <w:r w:rsidR="004723D7" w:rsidRPr="007956F8">
        <w:rPr>
          <w:rFonts w:ascii="Verdana" w:hAnsi="Verdana"/>
          <w:sz w:val="24"/>
          <w:szCs w:val="24"/>
        </w:rPr>
        <w:t xml:space="preserve"> </w:t>
      </w:r>
      <w:r>
        <w:rPr>
          <w:rFonts w:ascii="Verdana" w:hAnsi="Verdana"/>
          <w:sz w:val="24"/>
          <w:szCs w:val="24"/>
        </w:rPr>
        <w:t>dentro d</w:t>
      </w:r>
      <w:r w:rsidR="004723D7" w:rsidRPr="007956F8">
        <w:rPr>
          <w:rFonts w:ascii="Verdana" w:hAnsi="Verdana"/>
          <w:sz w:val="24"/>
          <w:szCs w:val="24"/>
        </w:rPr>
        <w:t>el CNAE 2009</w:t>
      </w:r>
      <w:r w:rsidR="007D155A" w:rsidRPr="007956F8">
        <w:rPr>
          <w:rFonts w:ascii="Verdana" w:hAnsi="Verdana"/>
          <w:sz w:val="24"/>
          <w:szCs w:val="24"/>
        </w:rPr>
        <w:t xml:space="preserve">: </w:t>
      </w:r>
      <w:r w:rsidR="004723D7" w:rsidRPr="007956F8">
        <w:rPr>
          <w:rFonts w:ascii="Verdana" w:hAnsi="Verdana"/>
          <w:sz w:val="24"/>
          <w:szCs w:val="24"/>
        </w:rPr>
        <w:t>55.10</w:t>
      </w:r>
      <w:r w:rsidR="007D155A" w:rsidRPr="007956F8">
        <w:rPr>
          <w:rFonts w:ascii="Verdana" w:hAnsi="Verdana"/>
          <w:sz w:val="24"/>
          <w:szCs w:val="24"/>
        </w:rPr>
        <w:t xml:space="preserve"> (h</w:t>
      </w:r>
      <w:r w:rsidR="004723D7" w:rsidRPr="007956F8">
        <w:rPr>
          <w:rFonts w:ascii="Verdana" w:hAnsi="Verdana"/>
          <w:sz w:val="24"/>
          <w:szCs w:val="24"/>
        </w:rPr>
        <w:t>oteles y alojamientos similares</w:t>
      </w:r>
      <w:r w:rsidR="007D155A" w:rsidRPr="007956F8">
        <w:rPr>
          <w:rFonts w:ascii="Verdana" w:hAnsi="Verdana"/>
          <w:sz w:val="24"/>
          <w:szCs w:val="24"/>
        </w:rPr>
        <w:t xml:space="preserve">), </w:t>
      </w:r>
      <w:r w:rsidR="004723D7" w:rsidRPr="007956F8">
        <w:rPr>
          <w:rFonts w:ascii="Verdana" w:hAnsi="Verdana"/>
          <w:sz w:val="24"/>
          <w:szCs w:val="24"/>
        </w:rPr>
        <w:t>55.20</w:t>
      </w:r>
      <w:r w:rsidR="007D155A" w:rsidRPr="007956F8">
        <w:rPr>
          <w:rFonts w:ascii="Verdana" w:hAnsi="Verdana"/>
          <w:sz w:val="24"/>
          <w:szCs w:val="24"/>
        </w:rPr>
        <w:t xml:space="preserve"> (a</w:t>
      </w:r>
      <w:r w:rsidR="004723D7" w:rsidRPr="007956F8">
        <w:rPr>
          <w:rFonts w:ascii="Verdana" w:hAnsi="Verdana"/>
          <w:sz w:val="24"/>
          <w:szCs w:val="24"/>
        </w:rPr>
        <w:t>lojamientos turísticos y otros alojamientos de corta estancia</w:t>
      </w:r>
      <w:r w:rsidR="007D155A" w:rsidRPr="007956F8">
        <w:rPr>
          <w:rFonts w:ascii="Verdana" w:hAnsi="Verdana"/>
          <w:sz w:val="24"/>
          <w:szCs w:val="24"/>
        </w:rPr>
        <w:t>)</w:t>
      </w:r>
      <w:r>
        <w:rPr>
          <w:rFonts w:ascii="Verdana" w:hAnsi="Verdana"/>
          <w:sz w:val="24"/>
          <w:szCs w:val="24"/>
        </w:rPr>
        <w:t xml:space="preserve"> o </w:t>
      </w:r>
      <w:r w:rsidR="004723D7" w:rsidRPr="007956F8">
        <w:rPr>
          <w:rFonts w:ascii="Verdana" w:hAnsi="Verdana"/>
          <w:sz w:val="24"/>
          <w:szCs w:val="24"/>
        </w:rPr>
        <w:t>55.30</w:t>
      </w:r>
      <w:r w:rsidR="007D155A" w:rsidRPr="007956F8">
        <w:rPr>
          <w:rFonts w:ascii="Verdana" w:hAnsi="Verdana"/>
          <w:sz w:val="24"/>
          <w:szCs w:val="24"/>
        </w:rPr>
        <w:t xml:space="preserve"> (c</w:t>
      </w:r>
      <w:r w:rsidR="004723D7" w:rsidRPr="007956F8">
        <w:rPr>
          <w:rFonts w:ascii="Verdana" w:hAnsi="Verdana"/>
          <w:sz w:val="24"/>
          <w:szCs w:val="24"/>
        </w:rPr>
        <w:t>ampings y aparcamientos para caravanas</w:t>
      </w:r>
      <w:r w:rsidR="007D155A" w:rsidRPr="007956F8">
        <w:rPr>
          <w:rFonts w:ascii="Verdana" w:hAnsi="Verdana"/>
          <w:sz w:val="24"/>
          <w:szCs w:val="24"/>
        </w:rPr>
        <w:t>).</w:t>
      </w:r>
      <w:r w:rsidR="00DC5CE7">
        <w:rPr>
          <w:rFonts w:ascii="Verdana" w:hAnsi="Verdana"/>
          <w:sz w:val="24"/>
          <w:szCs w:val="24"/>
        </w:rPr>
        <w:t xml:space="preserve"> Además, sus negocios </w:t>
      </w:r>
      <w:r w:rsidR="008C2F1A">
        <w:rPr>
          <w:rFonts w:ascii="Verdana" w:hAnsi="Verdana"/>
          <w:sz w:val="24"/>
          <w:szCs w:val="24"/>
        </w:rPr>
        <w:t>han de tener</w:t>
      </w:r>
      <w:r w:rsidR="00DC5CE7">
        <w:rPr>
          <w:rFonts w:ascii="Verdana" w:hAnsi="Verdana"/>
          <w:sz w:val="24"/>
          <w:szCs w:val="24"/>
        </w:rPr>
        <w:t xml:space="preserve"> </w:t>
      </w:r>
      <w:r w:rsidR="004723D7" w:rsidRPr="007D155A">
        <w:rPr>
          <w:rFonts w:ascii="Verdana" w:hAnsi="Verdana"/>
          <w:sz w:val="24"/>
          <w:szCs w:val="24"/>
        </w:rPr>
        <w:t>menos de 250 empleados y un volumen de negocio</w:t>
      </w:r>
      <w:r w:rsidR="007D155A">
        <w:rPr>
          <w:rFonts w:ascii="Verdana" w:hAnsi="Verdana"/>
          <w:sz w:val="24"/>
          <w:szCs w:val="24"/>
        </w:rPr>
        <w:t xml:space="preserve"> inferior a los 50 millones de euros.</w:t>
      </w:r>
      <w:r>
        <w:rPr>
          <w:rFonts w:ascii="Verdana" w:hAnsi="Verdana"/>
          <w:sz w:val="24"/>
          <w:szCs w:val="24"/>
        </w:rPr>
        <w:t xml:space="preserve"> Cabe recordar que e</w:t>
      </w:r>
      <w:r w:rsidR="004723D7" w:rsidRPr="007D155A">
        <w:rPr>
          <w:rFonts w:ascii="Verdana" w:hAnsi="Verdana"/>
          <w:sz w:val="24"/>
          <w:szCs w:val="24"/>
        </w:rPr>
        <w:t>stas actuaciones están dirigidas a pymes de todo el territorio nacional</w:t>
      </w:r>
      <w:r>
        <w:rPr>
          <w:rFonts w:ascii="Verdana" w:hAnsi="Verdana"/>
          <w:sz w:val="24"/>
          <w:szCs w:val="24"/>
        </w:rPr>
        <w:t xml:space="preserve"> y n</w:t>
      </w:r>
      <w:r w:rsidR="007D155A" w:rsidRPr="007D155A">
        <w:rPr>
          <w:rFonts w:ascii="Verdana" w:hAnsi="Verdana"/>
          <w:sz w:val="24"/>
          <w:szCs w:val="24"/>
        </w:rPr>
        <w:t xml:space="preserve">o existe una limitación de plazas hoteleras para </w:t>
      </w:r>
      <w:r w:rsidR="007D155A">
        <w:rPr>
          <w:rFonts w:ascii="Verdana" w:hAnsi="Verdana"/>
          <w:sz w:val="24"/>
          <w:szCs w:val="24"/>
        </w:rPr>
        <w:t xml:space="preserve">optar </w:t>
      </w:r>
      <w:r w:rsidR="007D155A" w:rsidRPr="007D155A">
        <w:rPr>
          <w:rFonts w:ascii="Verdana" w:hAnsi="Verdana"/>
          <w:sz w:val="24"/>
          <w:szCs w:val="24"/>
        </w:rPr>
        <w:t>a la presente convocatoria</w:t>
      </w:r>
      <w:r w:rsidR="007D155A">
        <w:rPr>
          <w:rFonts w:ascii="Verdana" w:hAnsi="Verdana"/>
          <w:sz w:val="24"/>
          <w:szCs w:val="24"/>
        </w:rPr>
        <w:t>.</w:t>
      </w:r>
      <w:r>
        <w:rPr>
          <w:rFonts w:ascii="Verdana" w:hAnsi="Verdana"/>
          <w:sz w:val="24"/>
          <w:szCs w:val="24"/>
        </w:rPr>
        <w:t xml:space="preserve"> </w:t>
      </w:r>
      <w:r w:rsidR="00DC5CE7">
        <w:rPr>
          <w:rFonts w:ascii="Verdana" w:hAnsi="Verdana"/>
          <w:sz w:val="24"/>
          <w:szCs w:val="24"/>
        </w:rPr>
        <w:t>Por último, es</w:t>
      </w:r>
      <w:r>
        <w:rPr>
          <w:rFonts w:ascii="Verdana" w:hAnsi="Verdana"/>
          <w:sz w:val="24"/>
          <w:szCs w:val="24"/>
        </w:rPr>
        <w:t xml:space="preserve"> importante re</w:t>
      </w:r>
      <w:r w:rsidR="00DC5CE7">
        <w:rPr>
          <w:rFonts w:ascii="Verdana" w:hAnsi="Verdana"/>
          <w:sz w:val="24"/>
          <w:szCs w:val="24"/>
        </w:rPr>
        <w:t>señar que para optar a esta línea de subvenciones es requisito indispensable n</w:t>
      </w:r>
      <w:r w:rsidR="007D155A" w:rsidRPr="007D155A">
        <w:rPr>
          <w:rFonts w:ascii="Verdana" w:hAnsi="Verdana"/>
          <w:sz w:val="24"/>
          <w:szCs w:val="24"/>
        </w:rPr>
        <w:t>o haber sido beneficiarios de la anterior</w:t>
      </w:r>
      <w:r w:rsidR="00AC6344">
        <w:rPr>
          <w:rFonts w:ascii="Verdana" w:hAnsi="Verdana"/>
          <w:sz w:val="24"/>
          <w:szCs w:val="24"/>
        </w:rPr>
        <w:t xml:space="preserve"> convocatoria “Hoteles con Red”.</w:t>
      </w:r>
      <w:r w:rsidR="007D155A" w:rsidRPr="007D155A">
        <w:rPr>
          <w:rFonts w:ascii="Verdana" w:hAnsi="Verdana"/>
          <w:sz w:val="24"/>
          <w:szCs w:val="24"/>
        </w:rPr>
        <w:t xml:space="preserve"> </w:t>
      </w:r>
    </w:p>
    <w:p w:rsidR="007D155A" w:rsidRPr="007D155A" w:rsidRDefault="007D155A" w:rsidP="007D155A">
      <w:pPr>
        <w:jc w:val="both"/>
        <w:rPr>
          <w:rFonts w:ascii="Verdana" w:hAnsi="Verdana"/>
          <w:b/>
          <w:sz w:val="24"/>
          <w:szCs w:val="24"/>
        </w:rPr>
      </w:pPr>
      <w:r w:rsidRPr="007D155A">
        <w:rPr>
          <w:rFonts w:ascii="Verdana" w:hAnsi="Verdana"/>
          <w:b/>
          <w:sz w:val="24"/>
          <w:szCs w:val="24"/>
        </w:rPr>
        <w:t>Determinación de las ayudas</w:t>
      </w:r>
    </w:p>
    <w:p w:rsidR="007D155A" w:rsidRDefault="00DC5CE7" w:rsidP="00DC5CE7">
      <w:pPr>
        <w:jc w:val="both"/>
        <w:rPr>
          <w:rFonts w:ascii="Verdana" w:hAnsi="Verdana"/>
          <w:sz w:val="24"/>
          <w:szCs w:val="24"/>
        </w:rPr>
      </w:pPr>
      <w:r>
        <w:rPr>
          <w:rFonts w:ascii="Verdana" w:hAnsi="Verdana"/>
          <w:sz w:val="24"/>
          <w:szCs w:val="24"/>
        </w:rPr>
        <w:t>Los solicitantes deben saber que el p</w:t>
      </w:r>
      <w:r w:rsidR="007D155A" w:rsidRPr="00DC5CE7">
        <w:rPr>
          <w:rFonts w:ascii="Verdana" w:hAnsi="Verdana"/>
          <w:sz w:val="24"/>
          <w:szCs w:val="24"/>
        </w:rPr>
        <w:t>resupuesto mínimo subvencionable</w:t>
      </w:r>
      <w:r>
        <w:rPr>
          <w:rFonts w:ascii="Verdana" w:hAnsi="Verdana"/>
          <w:sz w:val="24"/>
          <w:szCs w:val="24"/>
        </w:rPr>
        <w:t xml:space="preserve"> se fija en los </w:t>
      </w:r>
      <w:r w:rsidR="007D155A" w:rsidRPr="00DC5CE7">
        <w:rPr>
          <w:rFonts w:ascii="Verdana" w:hAnsi="Verdana"/>
          <w:sz w:val="24"/>
          <w:szCs w:val="24"/>
        </w:rPr>
        <w:t xml:space="preserve">6.250 </w:t>
      </w:r>
      <w:r>
        <w:rPr>
          <w:rFonts w:ascii="Verdana" w:hAnsi="Verdana"/>
          <w:sz w:val="24"/>
          <w:szCs w:val="24"/>
        </w:rPr>
        <w:t>euros, que la c</w:t>
      </w:r>
      <w:r w:rsidR="007D155A" w:rsidRPr="007D155A">
        <w:rPr>
          <w:rFonts w:ascii="Verdana" w:hAnsi="Verdana"/>
          <w:sz w:val="24"/>
          <w:szCs w:val="24"/>
        </w:rPr>
        <w:t>uantía máxima de la ayuda</w:t>
      </w:r>
      <w:r>
        <w:rPr>
          <w:rFonts w:ascii="Verdana" w:hAnsi="Verdana"/>
          <w:sz w:val="24"/>
          <w:szCs w:val="24"/>
        </w:rPr>
        <w:t xml:space="preserve"> será de </w:t>
      </w:r>
      <w:r w:rsidR="007D155A" w:rsidRPr="007D155A">
        <w:rPr>
          <w:rFonts w:ascii="Verdana" w:hAnsi="Verdana"/>
          <w:sz w:val="24"/>
          <w:szCs w:val="24"/>
        </w:rPr>
        <w:t>25.</w:t>
      </w:r>
      <w:r w:rsidR="00CB5C19">
        <w:rPr>
          <w:rFonts w:ascii="Verdana" w:hAnsi="Verdana"/>
          <w:sz w:val="24"/>
          <w:szCs w:val="24"/>
        </w:rPr>
        <w:t>0</w:t>
      </w:r>
      <w:r w:rsidR="00CB5C19" w:rsidRPr="007D155A">
        <w:rPr>
          <w:rFonts w:ascii="Verdana" w:hAnsi="Verdana"/>
          <w:sz w:val="24"/>
          <w:szCs w:val="24"/>
        </w:rPr>
        <w:t>00</w:t>
      </w:r>
      <w:r w:rsidR="00CB5C19">
        <w:rPr>
          <w:rFonts w:ascii="Verdana" w:hAnsi="Verdana"/>
          <w:sz w:val="24"/>
          <w:szCs w:val="24"/>
        </w:rPr>
        <w:t xml:space="preserve"> </w:t>
      </w:r>
      <w:r>
        <w:rPr>
          <w:rFonts w:ascii="Verdana" w:hAnsi="Verdana"/>
          <w:sz w:val="24"/>
          <w:szCs w:val="24"/>
        </w:rPr>
        <w:t>euros, que el p</w:t>
      </w:r>
      <w:r w:rsidR="007D155A" w:rsidRPr="007D155A">
        <w:rPr>
          <w:rFonts w:ascii="Verdana" w:hAnsi="Verdana"/>
          <w:sz w:val="24"/>
          <w:szCs w:val="24"/>
        </w:rPr>
        <w:t>orcentaje de financiación</w:t>
      </w:r>
      <w:r>
        <w:rPr>
          <w:rFonts w:ascii="Verdana" w:hAnsi="Verdana"/>
          <w:sz w:val="24"/>
          <w:szCs w:val="24"/>
        </w:rPr>
        <w:t xml:space="preserve"> </w:t>
      </w:r>
      <w:r w:rsidR="008C2F1A">
        <w:rPr>
          <w:rFonts w:ascii="Verdana" w:hAnsi="Verdana"/>
          <w:sz w:val="24"/>
          <w:szCs w:val="24"/>
        </w:rPr>
        <w:t xml:space="preserve">por parte de la pyme </w:t>
      </w:r>
      <w:r>
        <w:rPr>
          <w:rFonts w:ascii="Verdana" w:hAnsi="Verdana"/>
          <w:sz w:val="24"/>
          <w:szCs w:val="24"/>
        </w:rPr>
        <w:t xml:space="preserve">se sitúa </w:t>
      </w:r>
      <w:r w:rsidR="007D155A" w:rsidRPr="007D155A">
        <w:rPr>
          <w:rFonts w:ascii="Verdana" w:hAnsi="Verdana"/>
          <w:sz w:val="24"/>
          <w:szCs w:val="24"/>
        </w:rPr>
        <w:t>entre el 20-50% en tramos del 5%</w:t>
      </w:r>
      <w:r>
        <w:rPr>
          <w:rFonts w:ascii="Verdana" w:hAnsi="Verdana"/>
          <w:sz w:val="24"/>
          <w:szCs w:val="24"/>
        </w:rPr>
        <w:t xml:space="preserve">, que la </w:t>
      </w:r>
      <w:r w:rsidR="007D155A" w:rsidRPr="007D155A">
        <w:rPr>
          <w:rFonts w:ascii="Verdana" w:hAnsi="Verdana"/>
          <w:sz w:val="24"/>
          <w:szCs w:val="24"/>
        </w:rPr>
        <w:t>pyme beneficiaria deberá ejecutar el 100% del presupuesto subvencionable</w:t>
      </w:r>
      <w:r>
        <w:rPr>
          <w:rFonts w:ascii="Verdana" w:hAnsi="Verdana"/>
          <w:sz w:val="24"/>
          <w:szCs w:val="24"/>
        </w:rPr>
        <w:t xml:space="preserve"> y que </w:t>
      </w:r>
      <w:r w:rsidR="007D155A" w:rsidRPr="007D155A">
        <w:rPr>
          <w:rFonts w:ascii="Verdana" w:hAnsi="Verdana"/>
          <w:sz w:val="24"/>
          <w:szCs w:val="24"/>
        </w:rPr>
        <w:t>Red.es le reembolsará los gastos previamente aprobados.</w:t>
      </w:r>
      <w:r>
        <w:rPr>
          <w:rFonts w:ascii="Verdana" w:hAnsi="Verdana"/>
          <w:sz w:val="24"/>
          <w:szCs w:val="24"/>
        </w:rPr>
        <w:t xml:space="preserve"> En todos estos importes se ha excluido el </w:t>
      </w:r>
      <w:r w:rsidRPr="00DC5CE7">
        <w:rPr>
          <w:rFonts w:ascii="Verdana" w:hAnsi="Verdana"/>
          <w:sz w:val="24"/>
          <w:szCs w:val="24"/>
        </w:rPr>
        <w:t>IVA</w:t>
      </w:r>
      <w:r>
        <w:rPr>
          <w:rFonts w:ascii="Verdana" w:hAnsi="Verdana"/>
          <w:sz w:val="24"/>
          <w:szCs w:val="24"/>
        </w:rPr>
        <w:t xml:space="preserve">. </w:t>
      </w:r>
    </w:p>
    <w:p w:rsidR="007D155A" w:rsidRPr="007D155A" w:rsidRDefault="007D155A" w:rsidP="007D155A">
      <w:pPr>
        <w:jc w:val="both"/>
        <w:rPr>
          <w:rFonts w:ascii="Verdana" w:hAnsi="Verdana"/>
          <w:b/>
          <w:sz w:val="24"/>
          <w:szCs w:val="24"/>
        </w:rPr>
      </w:pPr>
      <w:r w:rsidRPr="007D155A">
        <w:rPr>
          <w:rFonts w:ascii="Verdana" w:hAnsi="Verdana"/>
          <w:b/>
          <w:sz w:val="24"/>
          <w:szCs w:val="24"/>
        </w:rPr>
        <w:t>Conceptos subvencionables</w:t>
      </w:r>
    </w:p>
    <w:p w:rsidR="0003754E" w:rsidRDefault="00DC5CE7" w:rsidP="00DC5CE7">
      <w:pPr>
        <w:jc w:val="both"/>
        <w:rPr>
          <w:rFonts w:ascii="Verdana" w:hAnsi="Verdana"/>
          <w:sz w:val="24"/>
          <w:szCs w:val="24"/>
        </w:rPr>
      </w:pPr>
      <w:r>
        <w:rPr>
          <w:rFonts w:ascii="Verdana" w:hAnsi="Verdana"/>
          <w:sz w:val="24"/>
          <w:szCs w:val="24"/>
        </w:rPr>
        <w:t>El d</w:t>
      </w:r>
      <w:r w:rsidR="007D155A" w:rsidRPr="00DC5CE7">
        <w:rPr>
          <w:rFonts w:ascii="Verdana" w:hAnsi="Verdana"/>
          <w:sz w:val="24"/>
          <w:szCs w:val="24"/>
        </w:rPr>
        <w:t>espliegue o mejora de la conectividad inalámbrica del establecimiento</w:t>
      </w:r>
      <w:r>
        <w:rPr>
          <w:rFonts w:ascii="Verdana" w:hAnsi="Verdana"/>
          <w:sz w:val="24"/>
          <w:szCs w:val="24"/>
        </w:rPr>
        <w:t xml:space="preserve"> incluye i</w:t>
      </w:r>
      <w:r w:rsidR="007D155A" w:rsidRPr="007D155A">
        <w:rPr>
          <w:rFonts w:ascii="Verdana" w:hAnsi="Verdana"/>
          <w:sz w:val="24"/>
          <w:szCs w:val="24"/>
        </w:rPr>
        <w:t>nfraestructura</w:t>
      </w:r>
      <w:r>
        <w:rPr>
          <w:rFonts w:ascii="Verdana" w:hAnsi="Verdana"/>
          <w:sz w:val="24"/>
          <w:szCs w:val="24"/>
        </w:rPr>
        <w:t>s</w:t>
      </w:r>
      <w:r w:rsidR="007D155A" w:rsidRPr="007D155A">
        <w:rPr>
          <w:rFonts w:ascii="Verdana" w:hAnsi="Verdana"/>
          <w:sz w:val="24"/>
          <w:szCs w:val="24"/>
        </w:rPr>
        <w:t xml:space="preserve"> </w:t>
      </w:r>
      <w:r>
        <w:rPr>
          <w:rFonts w:ascii="Verdana" w:hAnsi="Verdana"/>
          <w:sz w:val="24"/>
          <w:szCs w:val="24"/>
        </w:rPr>
        <w:t xml:space="preserve">de </w:t>
      </w:r>
      <w:r w:rsidR="007D155A" w:rsidRPr="007D155A">
        <w:rPr>
          <w:rFonts w:ascii="Verdana" w:hAnsi="Verdana"/>
          <w:sz w:val="24"/>
          <w:szCs w:val="24"/>
        </w:rPr>
        <w:t>hardware</w:t>
      </w:r>
      <w:r>
        <w:rPr>
          <w:rFonts w:ascii="Verdana" w:hAnsi="Verdana"/>
          <w:sz w:val="24"/>
          <w:szCs w:val="24"/>
        </w:rPr>
        <w:t xml:space="preserve">, </w:t>
      </w:r>
      <w:r w:rsidR="007D155A" w:rsidRPr="007D155A">
        <w:rPr>
          <w:rFonts w:ascii="Verdana" w:hAnsi="Verdana"/>
          <w:sz w:val="24"/>
          <w:szCs w:val="24"/>
        </w:rPr>
        <w:t>software de red</w:t>
      </w:r>
      <w:r>
        <w:rPr>
          <w:rFonts w:ascii="Verdana" w:hAnsi="Verdana"/>
          <w:sz w:val="24"/>
          <w:szCs w:val="24"/>
        </w:rPr>
        <w:t xml:space="preserve"> y s</w:t>
      </w:r>
      <w:r w:rsidR="007D155A" w:rsidRPr="007D155A">
        <w:rPr>
          <w:rFonts w:ascii="Verdana" w:hAnsi="Verdana"/>
          <w:sz w:val="24"/>
          <w:szCs w:val="24"/>
        </w:rPr>
        <w:t>ubcontratación de servicios profesionales</w:t>
      </w:r>
      <w:r>
        <w:rPr>
          <w:rFonts w:ascii="Verdana" w:hAnsi="Verdana"/>
          <w:sz w:val="24"/>
          <w:szCs w:val="24"/>
        </w:rPr>
        <w:t>. La iniciativa permite la c</w:t>
      </w:r>
      <w:r w:rsidR="007D155A" w:rsidRPr="007D155A">
        <w:rPr>
          <w:rFonts w:ascii="Verdana" w:hAnsi="Verdana"/>
          <w:sz w:val="24"/>
          <w:szCs w:val="24"/>
        </w:rPr>
        <w:t xml:space="preserve">ontratación </w:t>
      </w:r>
      <w:r w:rsidR="007D155A">
        <w:rPr>
          <w:rFonts w:ascii="Verdana" w:hAnsi="Verdana"/>
          <w:sz w:val="24"/>
          <w:szCs w:val="24"/>
        </w:rPr>
        <w:t xml:space="preserve">opcional </w:t>
      </w:r>
      <w:r w:rsidR="007D155A" w:rsidRPr="007D155A">
        <w:rPr>
          <w:rFonts w:ascii="Verdana" w:hAnsi="Verdana"/>
          <w:sz w:val="24"/>
          <w:szCs w:val="24"/>
        </w:rPr>
        <w:t>de una nueva línea de acceso a Internet o</w:t>
      </w:r>
      <w:r>
        <w:rPr>
          <w:rFonts w:ascii="Verdana" w:hAnsi="Verdana"/>
          <w:sz w:val="24"/>
          <w:szCs w:val="24"/>
        </w:rPr>
        <w:t xml:space="preserve"> la </w:t>
      </w:r>
      <w:r w:rsidR="007D155A" w:rsidRPr="007D155A">
        <w:rPr>
          <w:rFonts w:ascii="Verdana" w:hAnsi="Verdana"/>
          <w:sz w:val="24"/>
          <w:szCs w:val="24"/>
        </w:rPr>
        <w:t xml:space="preserve"> mejora de la capacidad del acceso actual (fija o móvil), hasta un máximo de 3 meses de servicio.</w:t>
      </w:r>
    </w:p>
    <w:p w:rsidR="0003754E" w:rsidRDefault="0003754E" w:rsidP="007D155A">
      <w:pPr>
        <w:jc w:val="both"/>
        <w:rPr>
          <w:rFonts w:ascii="Verdana" w:hAnsi="Verdana"/>
          <w:b/>
          <w:sz w:val="24"/>
          <w:szCs w:val="24"/>
        </w:rPr>
      </w:pPr>
    </w:p>
    <w:p w:rsidR="004723D7" w:rsidRDefault="001E4AAC" w:rsidP="007D155A">
      <w:pPr>
        <w:jc w:val="both"/>
        <w:rPr>
          <w:rFonts w:ascii="Verdana" w:hAnsi="Verdana"/>
          <w:sz w:val="24"/>
          <w:szCs w:val="24"/>
        </w:rPr>
      </w:pPr>
      <w:r w:rsidRPr="001E4AAC">
        <w:rPr>
          <w:rFonts w:ascii="Verdana" w:hAnsi="Verdana"/>
          <w:b/>
          <w:sz w:val="24"/>
          <w:szCs w:val="24"/>
        </w:rPr>
        <w:lastRenderedPageBreak/>
        <w:t xml:space="preserve">Reparto </w:t>
      </w:r>
      <w:r w:rsidR="00E33195">
        <w:rPr>
          <w:rFonts w:ascii="Verdana" w:hAnsi="Verdana"/>
          <w:b/>
          <w:sz w:val="24"/>
          <w:szCs w:val="24"/>
        </w:rPr>
        <w:t xml:space="preserve">presupuestario </w:t>
      </w:r>
      <w:r w:rsidRPr="001E4AAC">
        <w:rPr>
          <w:rFonts w:ascii="Verdana" w:hAnsi="Verdana"/>
          <w:b/>
          <w:sz w:val="24"/>
          <w:szCs w:val="24"/>
        </w:rPr>
        <w:t xml:space="preserve">por </w:t>
      </w:r>
      <w:r w:rsidR="00E33195">
        <w:rPr>
          <w:rFonts w:ascii="Verdana" w:hAnsi="Verdana"/>
          <w:b/>
          <w:sz w:val="24"/>
          <w:szCs w:val="24"/>
        </w:rPr>
        <w:t>Autonomías</w:t>
      </w:r>
    </w:p>
    <w:tbl>
      <w:tblPr>
        <w:tblW w:w="4604" w:type="dxa"/>
        <w:jc w:val="center"/>
        <w:tblInd w:w="-866" w:type="dxa"/>
        <w:tblCellMar>
          <w:left w:w="0" w:type="dxa"/>
          <w:right w:w="0" w:type="dxa"/>
        </w:tblCellMar>
        <w:tblLook w:val="04A0" w:firstRow="1" w:lastRow="0" w:firstColumn="1" w:lastColumn="0" w:noHBand="0" w:noVBand="1"/>
      </w:tblPr>
      <w:tblGrid>
        <w:gridCol w:w="2675"/>
        <w:gridCol w:w="1929"/>
      </w:tblGrid>
      <w:tr w:rsidR="001E4AAC"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4AAC" w:rsidRPr="001E4AAC" w:rsidRDefault="001E4AAC" w:rsidP="001E4AAC">
            <w:pPr>
              <w:jc w:val="center"/>
              <w:rPr>
                <w:rFonts w:ascii="Verdana" w:hAnsi="Verdana"/>
                <w:b/>
                <w:sz w:val="20"/>
                <w:szCs w:val="20"/>
              </w:rPr>
            </w:pPr>
            <w:r w:rsidRPr="001E4AAC">
              <w:rPr>
                <w:rFonts w:ascii="Verdana" w:hAnsi="Verdana"/>
                <w:b/>
                <w:sz w:val="20"/>
                <w:szCs w:val="20"/>
              </w:rPr>
              <w:t>CC AA</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4AAC" w:rsidRPr="001E4AAC" w:rsidRDefault="001E4AAC" w:rsidP="001E4AAC">
            <w:pPr>
              <w:jc w:val="center"/>
              <w:rPr>
                <w:rFonts w:ascii="Verdana" w:hAnsi="Verdana"/>
                <w:b/>
                <w:sz w:val="20"/>
                <w:szCs w:val="20"/>
              </w:rPr>
            </w:pPr>
            <w:r w:rsidRPr="001E4AAC">
              <w:rPr>
                <w:rFonts w:ascii="Verdana" w:hAnsi="Verdana"/>
                <w:b/>
                <w:sz w:val="20"/>
                <w:szCs w:val="20"/>
              </w:rPr>
              <w:t xml:space="preserve">Presupuesto </w:t>
            </w:r>
          </w:p>
        </w:tc>
      </w:tr>
      <w:tr w:rsidR="001E4AAC"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E4AAC" w:rsidRPr="001E4AAC" w:rsidRDefault="001E4AAC" w:rsidP="00046B6F">
            <w:pPr>
              <w:jc w:val="both"/>
              <w:rPr>
                <w:rFonts w:ascii="Verdana" w:hAnsi="Verdana"/>
                <w:sz w:val="20"/>
                <w:szCs w:val="20"/>
              </w:rPr>
            </w:pPr>
            <w:r w:rsidRPr="001E4AAC">
              <w:rPr>
                <w:rFonts w:ascii="Verdana" w:hAnsi="Verdana"/>
                <w:b/>
                <w:bCs/>
                <w:sz w:val="20"/>
                <w:szCs w:val="20"/>
              </w:rPr>
              <w:t>Andalucía</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E4AAC" w:rsidRPr="001E4AAC" w:rsidRDefault="001E4AAC" w:rsidP="001E4AAC">
            <w:pPr>
              <w:jc w:val="right"/>
              <w:rPr>
                <w:rFonts w:ascii="Verdana" w:hAnsi="Verdana"/>
                <w:sz w:val="20"/>
                <w:szCs w:val="20"/>
              </w:rPr>
            </w:pPr>
            <w:r w:rsidRPr="001E4AAC">
              <w:rPr>
                <w:rFonts w:ascii="Verdana" w:hAnsi="Verdana"/>
                <w:sz w:val="20"/>
                <w:szCs w:val="20"/>
              </w:rPr>
              <w:t>5.261.627</w:t>
            </w:r>
            <w:r w:rsidR="00E33195">
              <w:rPr>
                <w:rFonts w:ascii="Verdana" w:hAnsi="Verdana"/>
                <w:sz w:val="20"/>
                <w:szCs w:val="20"/>
              </w:rPr>
              <w:t>€</w:t>
            </w:r>
          </w:p>
        </w:tc>
      </w:tr>
      <w:tr w:rsidR="004723D7"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7D155A">
            <w:pPr>
              <w:jc w:val="both"/>
              <w:rPr>
                <w:rFonts w:ascii="Verdana" w:hAnsi="Verdana"/>
                <w:sz w:val="20"/>
                <w:szCs w:val="20"/>
              </w:rPr>
            </w:pPr>
            <w:r w:rsidRPr="001E4AAC">
              <w:rPr>
                <w:rFonts w:ascii="Verdana" w:hAnsi="Verdana"/>
                <w:b/>
                <w:bCs/>
                <w:sz w:val="20"/>
                <w:szCs w:val="20"/>
              </w:rPr>
              <w:t>Aragón</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1E4AAC">
            <w:pPr>
              <w:jc w:val="right"/>
              <w:rPr>
                <w:rFonts w:ascii="Verdana" w:hAnsi="Verdana"/>
                <w:sz w:val="20"/>
                <w:szCs w:val="20"/>
              </w:rPr>
            </w:pPr>
            <w:r w:rsidRPr="001E4AAC">
              <w:rPr>
                <w:rFonts w:ascii="Verdana" w:hAnsi="Verdana"/>
                <w:sz w:val="20"/>
                <w:szCs w:val="20"/>
              </w:rPr>
              <w:t>183.428</w:t>
            </w:r>
            <w:r w:rsidR="00E33195">
              <w:rPr>
                <w:rFonts w:ascii="Verdana" w:hAnsi="Verdana"/>
                <w:sz w:val="20"/>
                <w:szCs w:val="20"/>
              </w:rPr>
              <w:t>€</w:t>
            </w:r>
          </w:p>
        </w:tc>
      </w:tr>
      <w:tr w:rsidR="004723D7"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7D155A">
            <w:pPr>
              <w:jc w:val="both"/>
              <w:rPr>
                <w:rFonts w:ascii="Verdana" w:hAnsi="Verdana"/>
                <w:sz w:val="20"/>
                <w:szCs w:val="20"/>
              </w:rPr>
            </w:pPr>
            <w:r w:rsidRPr="001E4AAC">
              <w:rPr>
                <w:rFonts w:ascii="Verdana" w:hAnsi="Verdana"/>
                <w:b/>
                <w:bCs/>
                <w:sz w:val="20"/>
                <w:szCs w:val="20"/>
              </w:rPr>
              <w:t>Asturias</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1E4AAC">
            <w:pPr>
              <w:jc w:val="right"/>
              <w:rPr>
                <w:rFonts w:ascii="Verdana" w:hAnsi="Verdana"/>
                <w:sz w:val="20"/>
                <w:szCs w:val="20"/>
              </w:rPr>
            </w:pPr>
            <w:r w:rsidRPr="001E4AAC">
              <w:rPr>
                <w:rFonts w:ascii="Verdana" w:hAnsi="Verdana"/>
                <w:sz w:val="20"/>
                <w:szCs w:val="20"/>
              </w:rPr>
              <w:t>181.791</w:t>
            </w:r>
            <w:r w:rsidR="00E33195">
              <w:rPr>
                <w:rFonts w:ascii="Verdana" w:hAnsi="Verdana"/>
                <w:sz w:val="20"/>
                <w:szCs w:val="20"/>
              </w:rPr>
              <w:t>€</w:t>
            </w:r>
          </w:p>
        </w:tc>
      </w:tr>
      <w:tr w:rsidR="004723D7"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7D155A">
            <w:pPr>
              <w:jc w:val="both"/>
              <w:rPr>
                <w:rFonts w:ascii="Verdana" w:hAnsi="Verdana"/>
                <w:sz w:val="20"/>
                <w:szCs w:val="20"/>
              </w:rPr>
            </w:pPr>
            <w:r w:rsidRPr="001E4AAC">
              <w:rPr>
                <w:rFonts w:ascii="Verdana" w:hAnsi="Verdana"/>
                <w:b/>
                <w:bCs/>
                <w:sz w:val="20"/>
                <w:szCs w:val="20"/>
              </w:rPr>
              <w:t>Baleares</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1E4AAC">
            <w:pPr>
              <w:jc w:val="right"/>
              <w:rPr>
                <w:rFonts w:ascii="Verdana" w:hAnsi="Verdana"/>
                <w:sz w:val="20"/>
                <w:szCs w:val="20"/>
              </w:rPr>
            </w:pPr>
            <w:r w:rsidRPr="001E4AAC">
              <w:rPr>
                <w:rFonts w:ascii="Verdana" w:hAnsi="Verdana"/>
                <w:sz w:val="20"/>
                <w:szCs w:val="20"/>
              </w:rPr>
              <w:t>149.726</w:t>
            </w:r>
            <w:r w:rsidR="00E33195">
              <w:rPr>
                <w:rFonts w:ascii="Verdana" w:hAnsi="Verdana"/>
                <w:sz w:val="20"/>
                <w:szCs w:val="20"/>
              </w:rPr>
              <w:t>€</w:t>
            </w:r>
          </w:p>
        </w:tc>
      </w:tr>
      <w:tr w:rsidR="004723D7"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7D155A">
            <w:pPr>
              <w:jc w:val="both"/>
              <w:rPr>
                <w:rFonts w:ascii="Verdana" w:hAnsi="Verdana"/>
                <w:sz w:val="20"/>
                <w:szCs w:val="20"/>
              </w:rPr>
            </w:pPr>
            <w:r w:rsidRPr="001E4AAC">
              <w:rPr>
                <w:rFonts w:ascii="Verdana" w:hAnsi="Verdana"/>
                <w:b/>
                <w:bCs/>
                <w:sz w:val="20"/>
                <w:szCs w:val="20"/>
              </w:rPr>
              <w:t>Canarias</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1E4AAC">
            <w:pPr>
              <w:jc w:val="right"/>
              <w:rPr>
                <w:rFonts w:ascii="Verdana" w:hAnsi="Verdana"/>
                <w:sz w:val="20"/>
                <w:szCs w:val="20"/>
              </w:rPr>
            </w:pPr>
            <w:r w:rsidRPr="001E4AAC">
              <w:rPr>
                <w:rFonts w:ascii="Verdana" w:hAnsi="Verdana"/>
                <w:sz w:val="20"/>
                <w:szCs w:val="20"/>
              </w:rPr>
              <w:t>350.006</w:t>
            </w:r>
            <w:r w:rsidR="00E33195">
              <w:rPr>
                <w:rFonts w:ascii="Verdana" w:hAnsi="Verdana"/>
                <w:sz w:val="20"/>
                <w:szCs w:val="20"/>
              </w:rPr>
              <w:t>€</w:t>
            </w:r>
          </w:p>
        </w:tc>
      </w:tr>
      <w:tr w:rsidR="004723D7"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7D155A">
            <w:pPr>
              <w:jc w:val="both"/>
              <w:rPr>
                <w:rFonts w:ascii="Verdana" w:hAnsi="Verdana"/>
                <w:sz w:val="20"/>
                <w:szCs w:val="20"/>
              </w:rPr>
            </w:pPr>
            <w:r w:rsidRPr="001E4AAC">
              <w:rPr>
                <w:rFonts w:ascii="Verdana" w:hAnsi="Verdana"/>
                <w:b/>
                <w:bCs/>
                <w:sz w:val="20"/>
                <w:szCs w:val="20"/>
              </w:rPr>
              <w:t>Cantabria</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1E4AAC">
            <w:pPr>
              <w:jc w:val="right"/>
              <w:rPr>
                <w:rFonts w:ascii="Verdana" w:hAnsi="Verdana"/>
                <w:sz w:val="20"/>
                <w:szCs w:val="20"/>
              </w:rPr>
            </w:pPr>
            <w:r w:rsidRPr="001E4AAC">
              <w:rPr>
                <w:rFonts w:ascii="Verdana" w:hAnsi="Verdana"/>
                <w:sz w:val="20"/>
                <w:szCs w:val="20"/>
              </w:rPr>
              <w:t>214.763</w:t>
            </w:r>
            <w:r w:rsidR="00E33195">
              <w:rPr>
                <w:rFonts w:ascii="Verdana" w:hAnsi="Verdana"/>
                <w:sz w:val="20"/>
                <w:szCs w:val="20"/>
              </w:rPr>
              <w:t>€</w:t>
            </w:r>
          </w:p>
        </w:tc>
      </w:tr>
      <w:tr w:rsidR="004723D7"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7D155A">
            <w:pPr>
              <w:jc w:val="both"/>
              <w:rPr>
                <w:rFonts w:ascii="Verdana" w:hAnsi="Verdana"/>
                <w:sz w:val="20"/>
                <w:szCs w:val="20"/>
              </w:rPr>
            </w:pPr>
            <w:r w:rsidRPr="001E4AAC">
              <w:rPr>
                <w:rFonts w:ascii="Verdana" w:hAnsi="Verdana"/>
                <w:b/>
                <w:bCs/>
                <w:sz w:val="20"/>
                <w:szCs w:val="20"/>
              </w:rPr>
              <w:t>Castilla - La Mancha</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1E4AAC">
            <w:pPr>
              <w:jc w:val="right"/>
              <w:rPr>
                <w:rFonts w:ascii="Verdana" w:hAnsi="Verdana"/>
                <w:sz w:val="20"/>
                <w:szCs w:val="20"/>
              </w:rPr>
            </w:pPr>
            <w:r w:rsidRPr="001E4AAC">
              <w:rPr>
                <w:rFonts w:ascii="Verdana" w:hAnsi="Verdana"/>
                <w:sz w:val="20"/>
                <w:szCs w:val="20"/>
              </w:rPr>
              <w:t>683.611</w:t>
            </w:r>
            <w:r w:rsidR="00E33195">
              <w:rPr>
                <w:rFonts w:ascii="Verdana" w:hAnsi="Verdana"/>
                <w:sz w:val="20"/>
                <w:szCs w:val="20"/>
              </w:rPr>
              <w:t>€</w:t>
            </w:r>
          </w:p>
        </w:tc>
      </w:tr>
      <w:tr w:rsidR="004723D7"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7D155A">
            <w:pPr>
              <w:jc w:val="both"/>
              <w:rPr>
                <w:rFonts w:ascii="Verdana" w:hAnsi="Verdana"/>
                <w:sz w:val="20"/>
                <w:szCs w:val="20"/>
              </w:rPr>
            </w:pPr>
            <w:r w:rsidRPr="001E4AAC">
              <w:rPr>
                <w:rFonts w:ascii="Verdana" w:hAnsi="Verdana"/>
                <w:b/>
                <w:bCs/>
                <w:sz w:val="20"/>
                <w:szCs w:val="20"/>
              </w:rPr>
              <w:t>Castilla y León</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1E4AAC">
            <w:pPr>
              <w:jc w:val="right"/>
              <w:rPr>
                <w:rFonts w:ascii="Verdana" w:hAnsi="Verdana"/>
                <w:sz w:val="20"/>
                <w:szCs w:val="20"/>
              </w:rPr>
            </w:pPr>
            <w:r w:rsidRPr="001E4AAC">
              <w:rPr>
                <w:rFonts w:ascii="Verdana" w:hAnsi="Verdana"/>
                <w:sz w:val="20"/>
                <w:szCs w:val="20"/>
              </w:rPr>
              <w:t>790.415</w:t>
            </w:r>
            <w:r w:rsidR="00E33195">
              <w:rPr>
                <w:rFonts w:ascii="Verdana" w:hAnsi="Verdana"/>
                <w:sz w:val="20"/>
                <w:szCs w:val="20"/>
              </w:rPr>
              <w:t>€</w:t>
            </w:r>
          </w:p>
        </w:tc>
      </w:tr>
      <w:tr w:rsidR="004723D7"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7D155A">
            <w:pPr>
              <w:jc w:val="both"/>
              <w:rPr>
                <w:rFonts w:ascii="Verdana" w:hAnsi="Verdana"/>
                <w:sz w:val="20"/>
                <w:szCs w:val="20"/>
              </w:rPr>
            </w:pPr>
            <w:r w:rsidRPr="001E4AAC">
              <w:rPr>
                <w:rFonts w:ascii="Verdana" w:hAnsi="Verdana"/>
                <w:b/>
                <w:bCs/>
                <w:sz w:val="20"/>
                <w:szCs w:val="20"/>
              </w:rPr>
              <w:t>Cataluña</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1E4AAC">
            <w:pPr>
              <w:jc w:val="right"/>
              <w:rPr>
                <w:rFonts w:ascii="Verdana" w:hAnsi="Verdana"/>
                <w:sz w:val="20"/>
                <w:szCs w:val="20"/>
              </w:rPr>
            </w:pPr>
            <w:r w:rsidRPr="001E4AAC">
              <w:rPr>
                <w:rFonts w:ascii="Verdana" w:hAnsi="Verdana"/>
                <w:sz w:val="20"/>
                <w:szCs w:val="20"/>
              </w:rPr>
              <w:t>1.052.645</w:t>
            </w:r>
            <w:r w:rsidR="00E33195">
              <w:rPr>
                <w:rFonts w:ascii="Verdana" w:hAnsi="Verdana"/>
                <w:sz w:val="20"/>
                <w:szCs w:val="20"/>
              </w:rPr>
              <w:t>€</w:t>
            </w:r>
          </w:p>
        </w:tc>
      </w:tr>
      <w:tr w:rsidR="004723D7"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7D155A">
            <w:pPr>
              <w:jc w:val="both"/>
              <w:rPr>
                <w:rFonts w:ascii="Verdana" w:hAnsi="Verdana"/>
                <w:sz w:val="20"/>
                <w:szCs w:val="20"/>
              </w:rPr>
            </w:pPr>
            <w:r w:rsidRPr="001E4AAC">
              <w:rPr>
                <w:rFonts w:ascii="Verdana" w:hAnsi="Verdana"/>
                <w:b/>
                <w:bCs/>
                <w:sz w:val="20"/>
                <w:szCs w:val="20"/>
              </w:rPr>
              <w:t>Ceuta</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1E4AAC">
            <w:pPr>
              <w:jc w:val="right"/>
              <w:rPr>
                <w:rFonts w:ascii="Verdana" w:hAnsi="Verdana"/>
                <w:sz w:val="20"/>
                <w:szCs w:val="20"/>
              </w:rPr>
            </w:pPr>
            <w:r w:rsidRPr="001E4AAC">
              <w:rPr>
                <w:rFonts w:ascii="Verdana" w:hAnsi="Verdana"/>
                <w:sz w:val="20"/>
                <w:szCs w:val="20"/>
              </w:rPr>
              <w:t>25.000</w:t>
            </w:r>
            <w:r w:rsidR="00E33195">
              <w:rPr>
                <w:rFonts w:ascii="Verdana" w:hAnsi="Verdana"/>
                <w:sz w:val="20"/>
                <w:szCs w:val="20"/>
              </w:rPr>
              <w:t>€</w:t>
            </w:r>
          </w:p>
        </w:tc>
      </w:tr>
      <w:tr w:rsidR="004723D7"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1E4AAC">
            <w:pPr>
              <w:jc w:val="both"/>
              <w:rPr>
                <w:rFonts w:ascii="Verdana" w:hAnsi="Verdana"/>
                <w:sz w:val="20"/>
                <w:szCs w:val="20"/>
              </w:rPr>
            </w:pPr>
            <w:r w:rsidRPr="001E4AAC">
              <w:rPr>
                <w:rFonts w:ascii="Verdana" w:hAnsi="Verdana"/>
                <w:b/>
                <w:bCs/>
                <w:sz w:val="20"/>
                <w:szCs w:val="20"/>
              </w:rPr>
              <w:t>C</w:t>
            </w:r>
            <w:r w:rsidR="001E4AAC" w:rsidRPr="001E4AAC">
              <w:rPr>
                <w:rFonts w:ascii="Verdana" w:hAnsi="Verdana"/>
                <w:b/>
                <w:bCs/>
                <w:sz w:val="20"/>
                <w:szCs w:val="20"/>
              </w:rPr>
              <w:t xml:space="preserve">. </w:t>
            </w:r>
            <w:r w:rsidRPr="001E4AAC">
              <w:rPr>
                <w:rFonts w:ascii="Verdana" w:hAnsi="Verdana"/>
                <w:b/>
                <w:bCs/>
                <w:sz w:val="20"/>
                <w:szCs w:val="20"/>
              </w:rPr>
              <w:t>Valenciana</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1E4AAC">
            <w:pPr>
              <w:jc w:val="right"/>
              <w:rPr>
                <w:rFonts w:ascii="Verdana" w:hAnsi="Verdana"/>
                <w:sz w:val="20"/>
                <w:szCs w:val="20"/>
              </w:rPr>
            </w:pPr>
            <w:r w:rsidRPr="001E4AAC">
              <w:rPr>
                <w:rFonts w:ascii="Verdana" w:hAnsi="Verdana"/>
                <w:sz w:val="20"/>
                <w:szCs w:val="20"/>
              </w:rPr>
              <w:t>1.603.092</w:t>
            </w:r>
            <w:r w:rsidR="00E33195">
              <w:rPr>
                <w:rFonts w:ascii="Verdana" w:hAnsi="Verdana"/>
                <w:sz w:val="20"/>
                <w:szCs w:val="20"/>
              </w:rPr>
              <w:t>€</w:t>
            </w:r>
          </w:p>
        </w:tc>
      </w:tr>
      <w:tr w:rsidR="004723D7"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7D155A">
            <w:pPr>
              <w:jc w:val="both"/>
              <w:rPr>
                <w:rFonts w:ascii="Verdana" w:hAnsi="Verdana"/>
                <w:sz w:val="20"/>
                <w:szCs w:val="20"/>
              </w:rPr>
            </w:pPr>
            <w:r w:rsidRPr="001E4AAC">
              <w:rPr>
                <w:rFonts w:ascii="Verdana" w:hAnsi="Verdana"/>
                <w:b/>
                <w:bCs/>
                <w:sz w:val="20"/>
                <w:szCs w:val="20"/>
              </w:rPr>
              <w:t>Extremadura</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1E4AAC">
            <w:pPr>
              <w:jc w:val="right"/>
              <w:rPr>
                <w:rFonts w:ascii="Verdana" w:hAnsi="Verdana"/>
                <w:sz w:val="20"/>
                <w:szCs w:val="20"/>
              </w:rPr>
            </w:pPr>
            <w:r w:rsidRPr="001E4AAC">
              <w:rPr>
                <w:rFonts w:ascii="Verdana" w:hAnsi="Verdana"/>
                <w:sz w:val="20"/>
                <w:szCs w:val="20"/>
              </w:rPr>
              <w:t>457.501</w:t>
            </w:r>
            <w:r w:rsidR="00E33195">
              <w:rPr>
                <w:rFonts w:ascii="Verdana" w:hAnsi="Verdana"/>
                <w:sz w:val="20"/>
                <w:szCs w:val="20"/>
              </w:rPr>
              <w:t>€</w:t>
            </w:r>
          </w:p>
        </w:tc>
      </w:tr>
      <w:tr w:rsidR="004723D7"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7D155A">
            <w:pPr>
              <w:jc w:val="both"/>
              <w:rPr>
                <w:rFonts w:ascii="Verdana" w:hAnsi="Verdana"/>
                <w:sz w:val="20"/>
                <w:szCs w:val="20"/>
              </w:rPr>
            </w:pPr>
            <w:r w:rsidRPr="001E4AAC">
              <w:rPr>
                <w:rFonts w:ascii="Verdana" w:hAnsi="Verdana"/>
                <w:b/>
                <w:bCs/>
                <w:sz w:val="20"/>
                <w:szCs w:val="20"/>
              </w:rPr>
              <w:t>Galicia</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1E4AAC">
            <w:pPr>
              <w:jc w:val="right"/>
              <w:rPr>
                <w:rFonts w:ascii="Verdana" w:hAnsi="Verdana"/>
                <w:sz w:val="20"/>
                <w:szCs w:val="20"/>
              </w:rPr>
            </w:pPr>
            <w:r w:rsidRPr="001E4AAC">
              <w:rPr>
                <w:rFonts w:ascii="Verdana" w:hAnsi="Verdana"/>
                <w:sz w:val="20"/>
                <w:szCs w:val="20"/>
              </w:rPr>
              <w:t>2.198.876</w:t>
            </w:r>
            <w:r w:rsidR="00E33195">
              <w:rPr>
                <w:rFonts w:ascii="Verdana" w:hAnsi="Verdana"/>
                <w:sz w:val="20"/>
                <w:szCs w:val="20"/>
              </w:rPr>
              <w:t>€</w:t>
            </w:r>
          </w:p>
        </w:tc>
      </w:tr>
      <w:tr w:rsidR="004723D7"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7D155A">
            <w:pPr>
              <w:jc w:val="both"/>
              <w:rPr>
                <w:rFonts w:ascii="Verdana" w:hAnsi="Verdana"/>
                <w:sz w:val="20"/>
                <w:szCs w:val="20"/>
              </w:rPr>
            </w:pPr>
            <w:r w:rsidRPr="001E4AAC">
              <w:rPr>
                <w:rFonts w:ascii="Verdana" w:hAnsi="Verdana"/>
                <w:b/>
                <w:bCs/>
                <w:sz w:val="20"/>
                <w:szCs w:val="20"/>
              </w:rPr>
              <w:t>La Rioja</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1E4AAC">
            <w:pPr>
              <w:jc w:val="right"/>
              <w:rPr>
                <w:rFonts w:ascii="Verdana" w:hAnsi="Verdana"/>
                <w:sz w:val="20"/>
                <w:szCs w:val="20"/>
              </w:rPr>
            </w:pPr>
            <w:r w:rsidRPr="001E4AAC">
              <w:rPr>
                <w:rFonts w:ascii="Verdana" w:hAnsi="Verdana"/>
                <w:sz w:val="20"/>
                <w:szCs w:val="20"/>
              </w:rPr>
              <w:t>56.302</w:t>
            </w:r>
            <w:r w:rsidR="00E33195">
              <w:rPr>
                <w:rFonts w:ascii="Verdana" w:hAnsi="Verdana"/>
                <w:sz w:val="20"/>
                <w:szCs w:val="20"/>
              </w:rPr>
              <w:t>€</w:t>
            </w:r>
          </w:p>
        </w:tc>
      </w:tr>
      <w:tr w:rsidR="004723D7"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7D155A">
            <w:pPr>
              <w:jc w:val="both"/>
              <w:rPr>
                <w:rFonts w:ascii="Verdana" w:hAnsi="Verdana"/>
                <w:sz w:val="20"/>
                <w:szCs w:val="20"/>
              </w:rPr>
            </w:pPr>
            <w:r w:rsidRPr="001E4AAC">
              <w:rPr>
                <w:rFonts w:ascii="Verdana" w:hAnsi="Verdana"/>
                <w:b/>
                <w:bCs/>
                <w:sz w:val="20"/>
                <w:szCs w:val="20"/>
              </w:rPr>
              <w:t>Madrid</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1E4AAC">
            <w:pPr>
              <w:jc w:val="right"/>
              <w:rPr>
                <w:rFonts w:ascii="Verdana" w:hAnsi="Verdana"/>
                <w:sz w:val="20"/>
                <w:szCs w:val="20"/>
              </w:rPr>
            </w:pPr>
            <w:r w:rsidRPr="001E4AAC">
              <w:rPr>
                <w:rFonts w:ascii="Verdana" w:hAnsi="Verdana"/>
                <w:sz w:val="20"/>
                <w:szCs w:val="20"/>
              </w:rPr>
              <w:t>789.759</w:t>
            </w:r>
            <w:r w:rsidR="00E33195">
              <w:rPr>
                <w:rFonts w:ascii="Verdana" w:hAnsi="Verdana"/>
                <w:sz w:val="20"/>
                <w:szCs w:val="20"/>
              </w:rPr>
              <w:t>€</w:t>
            </w:r>
          </w:p>
        </w:tc>
      </w:tr>
      <w:tr w:rsidR="004723D7"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7D155A">
            <w:pPr>
              <w:jc w:val="both"/>
              <w:rPr>
                <w:rFonts w:ascii="Verdana" w:hAnsi="Verdana"/>
                <w:sz w:val="20"/>
                <w:szCs w:val="20"/>
              </w:rPr>
            </w:pPr>
            <w:r w:rsidRPr="001E4AAC">
              <w:rPr>
                <w:rFonts w:ascii="Verdana" w:hAnsi="Verdana"/>
                <w:b/>
                <w:bCs/>
                <w:sz w:val="20"/>
                <w:szCs w:val="20"/>
              </w:rPr>
              <w:t>Melilla</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1E4AAC">
            <w:pPr>
              <w:jc w:val="right"/>
              <w:rPr>
                <w:rFonts w:ascii="Verdana" w:hAnsi="Verdana"/>
                <w:sz w:val="20"/>
                <w:szCs w:val="20"/>
              </w:rPr>
            </w:pPr>
            <w:r w:rsidRPr="001E4AAC">
              <w:rPr>
                <w:rFonts w:ascii="Verdana" w:hAnsi="Verdana"/>
                <w:sz w:val="20"/>
                <w:szCs w:val="20"/>
              </w:rPr>
              <w:t>25.000</w:t>
            </w:r>
            <w:r w:rsidR="00E33195">
              <w:rPr>
                <w:rFonts w:ascii="Verdana" w:hAnsi="Verdana"/>
                <w:sz w:val="20"/>
                <w:szCs w:val="20"/>
              </w:rPr>
              <w:t>€</w:t>
            </w:r>
          </w:p>
        </w:tc>
      </w:tr>
      <w:tr w:rsidR="004723D7"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7D155A">
            <w:pPr>
              <w:jc w:val="both"/>
              <w:rPr>
                <w:rFonts w:ascii="Verdana" w:hAnsi="Verdana"/>
                <w:sz w:val="20"/>
                <w:szCs w:val="20"/>
              </w:rPr>
            </w:pPr>
            <w:r w:rsidRPr="001E4AAC">
              <w:rPr>
                <w:rFonts w:ascii="Verdana" w:hAnsi="Verdana"/>
                <w:b/>
                <w:bCs/>
                <w:sz w:val="20"/>
                <w:szCs w:val="20"/>
              </w:rPr>
              <w:t>Navarra</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1E4AAC">
            <w:pPr>
              <w:jc w:val="right"/>
              <w:rPr>
                <w:rFonts w:ascii="Verdana" w:hAnsi="Verdana"/>
                <w:sz w:val="20"/>
                <w:szCs w:val="20"/>
              </w:rPr>
            </w:pPr>
            <w:r w:rsidRPr="001E4AAC">
              <w:rPr>
                <w:rFonts w:ascii="Verdana" w:hAnsi="Verdana"/>
                <w:sz w:val="20"/>
                <w:szCs w:val="20"/>
              </w:rPr>
              <w:t>150.481</w:t>
            </w:r>
            <w:r w:rsidR="00E33195">
              <w:rPr>
                <w:rFonts w:ascii="Verdana" w:hAnsi="Verdana"/>
                <w:sz w:val="20"/>
                <w:szCs w:val="20"/>
              </w:rPr>
              <w:t>€</w:t>
            </w:r>
          </w:p>
        </w:tc>
      </w:tr>
      <w:tr w:rsidR="004723D7"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7D155A">
            <w:pPr>
              <w:jc w:val="both"/>
              <w:rPr>
                <w:rFonts w:ascii="Verdana" w:hAnsi="Verdana"/>
                <w:sz w:val="20"/>
                <w:szCs w:val="20"/>
              </w:rPr>
            </w:pPr>
            <w:r w:rsidRPr="001E4AAC">
              <w:rPr>
                <w:rFonts w:ascii="Verdana" w:hAnsi="Verdana"/>
                <w:b/>
                <w:bCs/>
                <w:sz w:val="20"/>
                <w:szCs w:val="20"/>
              </w:rPr>
              <w:t>Murcia</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1E4AAC">
            <w:pPr>
              <w:jc w:val="right"/>
              <w:rPr>
                <w:rFonts w:ascii="Verdana" w:hAnsi="Verdana"/>
                <w:sz w:val="20"/>
                <w:szCs w:val="20"/>
              </w:rPr>
            </w:pPr>
            <w:r w:rsidRPr="001E4AAC">
              <w:rPr>
                <w:rFonts w:ascii="Verdana" w:hAnsi="Verdana"/>
                <w:sz w:val="20"/>
                <w:szCs w:val="20"/>
              </w:rPr>
              <w:t>315.002</w:t>
            </w:r>
            <w:r w:rsidR="00E33195">
              <w:rPr>
                <w:rFonts w:ascii="Verdana" w:hAnsi="Verdana"/>
                <w:sz w:val="20"/>
                <w:szCs w:val="20"/>
              </w:rPr>
              <w:t>€</w:t>
            </w:r>
          </w:p>
        </w:tc>
      </w:tr>
      <w:tr w:rsidR="004723D7"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7D155A">
            <w:pPr>
              <w:jc w:val="both"/>
              <w:rPr>
                <w:rFonts w:ascii="Verdana" w:hAnsi="Verdana"/>
                <w:sz w:val="20"/>
                <w:szCs w:val="20"/>
              </w:rPr>
            </w:pPr>
            <w:r w:rsidRPr="001E4AAC">
              <w:rPr>
                <w:rFonts w:ascii="Verdana" w:hAnsi="Verdana"/>
                <w:b/>
                <w:bCs/>
                <w:sz w:val="20"/>
                <w:szCs w:val="20"/>
              </w:rPr>
              <w:t>País Vasco</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7987" w:rsidRPr="001E4AAC" w:rsidRDefault="004723D7" w:rsidP="001E4AAC">
            <w:pPr>
              <w:jc w:val="right"/>
              <w:rPr>
                <w:rFonts w:ascii="Verdana" w:hAnsi="Verdana"/>
                <w:sz w:val="20"/>
                <w:szCs w:val="20"/>
              </w:rPr>
            </w:pPr>
            <w:r w:rsidRPr="001E4AAC">
              <w:rPr>
                <w:rFonts w:ascii="Verdana" w:hAnsi="Verdana"/>
                <w:sz w:val="20"/>
                <w:szCs w:val="20"/>
              </w:rPr>
              <w:t>510.973</w:t>
            </w:r>
            <w:r w:rsidR="00E33195">
              <w:rPr>
                <w:rFonts w:ascii="Verdana" w:hAnsi="Verdana"/>
                <w:sz w:val="20"/>
                <w:szCs w:val="20"/>
              </w:rPr>
              <w:t>€</w:t>
            </w:r>
          </w:p>
        </w:tc>
      </w:tr>
      <w:tr w:rsidR="001E4AAC" w:rsidRPr="004723D7" w:rsidTr="001E4AAC">
        <w:trPr>
          <w:trHeight w:val="356"/>
          <w:jc w:val="center"/>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4AAC" w:rsidRPr="001E4AAC" w:rsidRDefault="001E4AAC" w:rsidP="001E4AAC">
            <w:pPr>
              <w:jc w:val="right"/>
              <w:rPr>
                <w:rFonts w:ascii="Verdana" w:hAnsi="Verdana"/>
                <w:b/>
                <w:sz w:val="20"/>
                <w:szCs w:val="20"/>
              </w:rPr>
            </w:pPr>
            <w:r w:rsidRPr="001E4AAC">
              <w:rPr>
                <w:rFonts w:ascii="Verdana" w:hAnsi="Verdana"/>
                <w:b/>
                <w:sz w:val="20"/>
                <w:szCs w:val="20"/>
              </w:rPr>
              <w:t>TOTAL</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4AAC" w:rsidRPr="001E4AAC" w:rsidRDefault="001E4AAC" w:rsidP="004B2BCB">
            <w:pPr>
              <w:jc w:val="right"/>
              <w:rPr>
                <w:rFonts w:ascii="Verdana" w:hAnsi="Verdana"/>
                <w:b/>
                <w:sz w:val="20"/>
                <w:szCs w:val="20"/>
              </w:rPr>
            </w:pPr>
            <w:r w:rsidRPr="001E4AAC">
              <w:rPr>
                <w:rFonts w:ascii="Verdana" w:hAnsi="Verdana"/>
                <w:b/>
                <w:sz w:val="20"/>
                <w:szCs w:val="20"/>
              </w:rPr>
              <w:t>15.000.000 €</w:t>
            </w:r>
          </w:p>
        </w:tc>
      </w:tr>
    </w:tbl>
    <w:p w:rsidR="0003754E" w:rsidRDefault="0003754E" w:rsidP="00D22227">
      <w:pPr>
        <w:jc w:val="both"/>
        <w:rPr>
          <w:rFonts w:ascii="Verdana" w:hAnsi="Verdana"/>
          <w:b/>
          <w:sz w:val="24"/>
          <w:szCs w:val="24"/>
        </w:rPr>
      </w:pPr>
    </w:p>
    <w:p w:rsidR="0003754E" w:rsidRDefault="0003754E" w:rsidP="00D22227">
      <w:pPr>
        <w:jc w:val="both"/>
        <w:rPr>
          <w:rFonts w:ascii="Verdana" w:hAnsi="Verdana"/>
          <w:b/>
          <w:sz w:val="24"/>
          <w:szCs w:val="24"/>
        </w:rPr>
      </w:pPr>
    </w:p>
    <w:p w:rsidR="00D22227" w:rsidRPr="00D22227" w:rsidRDefault="00D22227" w:rsidP="00D22227">
      <w:pPr>
        <w:jc w:val="both"/>
        <w:rPr>
          <w:rFonts w:ascii="Verdana" w:hAnsi="Verdana"/>
          <w:sz w:val="24"/>
          <w:szCs w:val="24"/>
        </w:rPr>
      </w:pPr>
      <w:r w:rsidRPr="00D22227">
        <w:rPr>
          <w:rFonts w:ascii="Verdana" w:hAnsi="Verdana"/>
          <w:b/>
          <w:sz w:val="24"/>
          <w:szCs w:val="24"/>
        </w:rPr>
        <w:lastRenderedPageBreak/>
        <w:t xml:space="preserve">Agenda Digital para España </w:t>
      </w:r>
    </w:p>
    <w:p w:rsidR="00E33195" w:rsidRDefault="00D22227" w:rsidP="00D22227">
      <w:pPr>
        <w:jc w:val="both"/>
        <w:rPr>
          <w:rFonts w:ascii="Verdana" w:hAnsi="Verdana"/>
          <w:sz w:val="24"/>
          <w:szCs w:val="24"/>
        </w:rPr>
      </w:pPr>
      <w:r>
        <w:rPr>
          <w:rFonts w:ascii="Verdana" w:hAnsi="Verdana"/>
          <w:sz w:val="24"/>
          <w:szCs w:val="24"/>
        </w:rPr>
        <w:t xml:space="preserve">La iniciativa </w:t>
      </w:r>
      <w:r w:rsidRPr="00D22227">
        <w:rPr>
          <w:rFonts w:ascii="Verdana" w:hAnsi="Verdana"/>
          <w:sz w:val="24"/>
          <w:szCs w:val="24"/>
        </w:rPr>
        <w:t xml:space="preserve">“Alojamientos con Red” se engloba dentro de las líneas de actuación estructurales de la Agenda Digital para España. El cometido de Red.es es promover el desarrollo de la economía digital para lograr el crecimiento, la competitividad y la internacionalización de las empresas nacionales. Para ello se impulsan iniciativas como la presente, encaminada a aumentar el uso de las TIC por parte de las pymes y autónomos. </w:t>
      </w:r>
    </w:p>
    <w:p w:rsidR="00E33195" w:rsidRPr="00AC6344" w:rsidRDefault="00ED08AC" w:rsidP="00D22227">
      <w:pPr>
        <w:jc w:val="both"/>
        <w:rPr>
          <w:rFonts w:ascii="Verdana" w:hAnsi="Verdana"/>
          <w:b/>
          <w:sz w:val="24"/>
          <w:szCs w:val="24"/>
        </w:rPr>
      </w:pPr>
      <w:r w:rsidRPr="00ED08AC">
        <w:rPr>
          <w:rFonts w:ascii="Verdana" w:hAnsi="Verdana"/>
          <w:b/>
          <w:sz w:val="24"/>
          <w:szCs w:val="24"/>
        </w:rPr>
        <w:t>Fondo Europeo de Desarrollo Regional</w:t>
      </w:r>
    </w:p>
    <w:p w:rsidR="00D22227" w:rsidRDefault="00D22227" w:rsidP="0003754E">
      <w:pPr>
        <w:jc w:val="both"/>
        <w:rPr>
          <w:rFonts w:ascii="Verdana" w:hAnsi="Verdana"/>
          <w:b/>
          <w:sz w:val="24"/>
          <w:szCs w:val="24"/>
        </w:rPr>
      </w:pPr>
      <w:r>
        <w:rPr>
          <w:rFonts w:ascii="Verdana" w:hAnsi="Verdana"/>
          <w:sz w:val="24"/>
          <w:szCs w:val="24"/>
        </w:rPr>
        <w:t xml:space="preserve">Este </w:t>
      </w:r>
      <w:r w:rsidRPr="00D22227">
        <w:rPr>
          <w:rFonts w:ascii="Verdana" w:hAnsi="Verdana"/>
          <w:sz w:val="24"/>
          <w:szCs w:val="24"/>
        </w:rPr>
        <w:t>programa de ayudas está cofinanciado por la Unión Europea a través del Fondo Europeo de Desarrollo Regional (FEDER)”.</w:t>
      </w:r>
    </w:p>
    <w:p w:rsidR="00D22227" w:rsidRPr="00D22227" w:rsidRDefault="00D22227" w:rsidP="00D22227">
      <w:pPr>
        <w:jc w:val="center"/>
        <w:rPr>
          <w:rFonts w:ascii="Verdana" w:hAnsi="Verdana"/>
          <w:b/>
          <w:sz w:val="24"/>
          <w:szCs w:val="24"/>
        </w:rPr>
      </w:pPr>
      <w:r w:rsidRPr="00D22227">
        <w:rPr>
          <w:rFonts w:ascii="Verdana" w:hAnsi="Verdana"/>
          <w:b/>
          <w:sz w:val="24"/>
          <w:szCs w:val="24"/>
        </w:rPr>
        <w:t>Más información</w:t>
      </w:r>
    </w:p>
    <w:p w:rsidR="00AC6344" w:rsidRDefault="00D22227" w:rsidP="00D22227">
      <w:pPr>
        <w:jc w:val="center"/>
        <w:rPr>
          <w:rFonts w:ascii="Verdana" w:hAnsi="Verdana"/>
          <w:sz w:val="24"/>
          <w:szCs w:val="24"/>
        </w:rPr>
      </w:pPr>
      <w:r>
        <w:rPr>
          <w:rFonts w:ascii="Verdana" w:hAnsi="Verdana"/>
          <w:sz w:val="24"/>
          <w:szCs w:val="24"/>
        </w:rPr>
        <w:t>T</w:t>
      </w:r>
      <w:r w:rsidR="00DC5CE7" w:rsidRPr="00DC5CE7">
        <w:rPr>
          <w:rFonts w:ascii="Verdana" w:hAnsi="Verdana"/>
          <w:sz w:val="24"/>
          <w:szCs w:val="24"/>
        </w:rPr>
        <w:t xml:space="preserve">odas las solicitudes se tendrán que tramitar </w:t>
      </w:r>
      <w:r>
        <w:rPr>
          <w:rFonts w:ascii="Verdana" w:hAnsi="Verdana"/>
          <w:sz w:val="24"/>
          <w:szCs w:val="24"/>
        </w:rPr>
        <w:t xml:space="preserve">a través del perfil del contratante de Red.es </w:t>
      </w:r>
      <w:r w:rsidR="00DC5CE7" w:rsidRPr="00DC5CE7">
        <w:rPr>
          <w:rFonts w:ascii="Verdana" w:hAnsi="Verdana"/>
          <w:sz w:val="24"/>
          <w:szCs w:val="24"/>
        </w:rPr>
        <w:t xml:space="preserve">y será necesario </w:t>
      </w:r>
      <w:r>
        <w:rPr>
          <w:rFonts w:ascii="Verdana" w:hAnsi="Verdana"/>
          <w:sz w:val="24"/>
          <w:szCs w:val="24"/>
        </w:rPr>
        <w:t xml:space="preserve">el </w:t>
      </w:r>
      <w:r w:rsidR="00DC5CE7" w:rsidRPr="00DC5CE7">
        <w:rPr>
          <w:rFonts w:ascii="Verdana" w:hAnsi="Verdana"/>
          <w:sz w:val="24"/>
          <w:szCs w:val="24"/>
        </w:rPr>
        <w:t>certificado electrónico del representante legal de la empresa solicitante</w:t>
      </w:r>
      <w:r>
        <w:rPr>
          <w:rFonts w:ascii="Verdana" w:hAnsi="Verdana"/>
          <w:sz w:val="24"/>
          <w:szCs w:val="24"/>
        </w:rPr>
        <w:t>. L</w:t>
      </w:r>
      <w:r w:rsidRPr="00D22227">
        <w:rPr>
          <w:rFonts w:ascii="Verdana" w:hAnsi="Verdana"/>
          <w:sz w:val="24"/>
          <w:szCs w:val="24"/>
        </w:rPr>
        <w:t xml:space="preserve">as bases de la convocatoria </w:t>
      </w:r>
      <w:r>
        <w:rPr>
          <w:rFonts w:ascii="Verdana" w:hAnsi="Verdana"/>
          <w:sz w:val="24"/>
          <w:szCs w:val="24"/>
        </w:rPr>
        <w:t xml:space="preserve">están </w:t>
      </w:r>
      <w:r w:rsidRPr="00D22227">
        <w:rPr>
          <w:rFonts w:ascii="Verdana" w:hAnsi="Verdana"/>
          <w:sz w:val="24"/>
          <w:szCs w:val="24"/>
        </w:rPr>
        <w:t xml:space="preserve">disponibles en el siguiente enlace: </w:t>
      </w:r>
    </w:p>
    <w:p w:rsidR="00DC5CE7" w:rsidRDefault="00EF2EF0" w:rsidP="00D22227">
      <w:pPr>
        <w:jc w:val="center"/>
        <w:rPr>
          <w:rFonts w:ascii="Verdana" w:hAnsi="Verdana"/>
          <w:sz w:val="24"/>
          <w:szCs w:val="24"/>
        </w:rPr>
      </w:pPr>
      <w:hyperlink r:id="rId10" w:history="1">
        <w:r w:rsidR="00D22227" w:rsidRPr="00E25FCD">
          <w:rPr>
            <w:rStyle w:val="Hipervnculo"/>
            <w:rFonts w:ascii="Verdana" w:hAnsi="Verdana"/>
            <w:sz w:val="24"/>
            <w:szCs w:val="24"/>
          </w:rPr>
          <w:t>http://bit.ly/1QVZTP4</w:t>
        </w:r>
      </w:hyperlink>
    </w:p>
    <w:p w:rsidR="00D22227" w:rsidRDefault="00AC6344" w:rsidP="00D22227">
      <w:pPr>
        <w:jc w:val="center"/>
        <w:rPr>
          <w:rFonts w:ascii="Verdana" w:hAnsi="Verdana"/>
          <w:b/>
          <w:sz w:val="24"/>
          <w:szCs w:val="24"/>
        </w:rPr>
      </w:pPr>
      <w:r>
        <w:rPr>
          <w:rFonts w:ascii="Verdana" w:hAnsi="Verdana"/>
          <w:b/>
          <w:sz w:val="24"/>
          <w:szCs w:val="24"/>
        </w:rPr>
        <w:t>--</w:t>
      </w:r>
    </w:p>
    <w:p w:rsidR="000772F7" w:rsidRPr="00D22227" w:rsidRDefault="000772F7" w:rsidP="00D22227">
      <w:pPr>
        <w:jc w:val="center"/>
        <w:rPr>
          <w:rFonts w:ascii="Verdana" w:hAnsi="Verdana"/>
          <w:b/>
          <w:sz w:val="24"/>
          <w:szCs w:val="24"/>
        </w:rPr>
      </w:pPr>
      <w:r w:rsidRPr="00D22227">
        <w:rPr>
          <w:rFonts w:ascii="Verdana" w:hAnsi="Verdana"/>
          <w:b/>
          <w:sz w:val="24"/>
          <w:szCs w:val="24"/>
        </w:rPr>
        <w:t>Proceso de solicitud y resolución convocatoria</w:t>
      </w:r>
    </w:p>
    <w:p w:rsidR="00353C2B" w:rsidRDefault="000772F7" w:rsidP="00D22227">
      <w:pPr>
        <w:jc w:val="center"/>
        <w:rPr>
          <w:rFonts w:ascii="Verdana" w:hAnsi="Verdana"/>
          <w:sz w:val="24"/>
          <w:szCs w:val="24"/>
        </w:rPr>
      </w:pPr>
      <w:r w:rsidRPr="000772F7">
        <w:rPr>
          <w:rFonts w:ascii="Verdana" w:hAnsi="Verdana"/>
          <w:sz w:val="24"/>
          <w:szCs w:val="24"/>
        </w:rPr>
        <w:t>901 900 333</w:t>
      </w:r>
      <w:r w:rsidR="00D22227">
        <w:rPr>
          <w:rFonts w:ascii="Verdana" w:hAnsi="Verdana"/>
          <w:sz w:val="24"/>
          <w:szCs w:val="24"/>
        </w:rPr>
        <w:t xml:space="preserve"> // </w:t>
      </w:r>
      <w:hyperlink r:id="rId11" w:history="1">
        <w:r w:rsidRPr="008302D4">
          <w:rPr>
            <w:rStyle w:val="Hipervnculo"/>
            <w:rFonts w:ascii="Verdana" w:hAnsi="Verdana"/>
            <w:sz w:val="24"/>
            <w:szCs w:val="24"/>
          </w:rPr>
          <w:t>convocatorias@red.es</w:t>
        </w:r>
      </w:hyperlink>
    </w:p>
    <w:p w:rsidR="000772F7" w:rsidRPr="00D22227" w:rsidRDefault="000772F7" w:rsidP="00D22227">
      <w:pPr>
        <w:jc w:val="center"/>
        <w:rPr>
          <w:rFonts w:ascii="Verdana" w:hAnsi="Verdana"/>
          <w:b/>
          <w:sz w:val="24"/>
          <w:szCs w:val="24"/>
        </w:rPr>
      </w:pPr>
      <w:r w:rsidRPr="00D22227">
        <w:rPr>
          <w:rFonts w:ascii="Verdana" w:hAnsi="Verdana"/>
          <w:b/>
          <w:sz w:val="24"/>
          <w:szCs w:val="24"/>
        </w:rPr>
        <w:t>Funcionamiento y requisitos sede electrónica</w:t>
      </w:r>
    </w:p>
    <w:p w:rsidR="000772F7" w:rsidRDefault="000772F7" w:rsidP="00D22227">
      <w:pPr>
        <w:jc w:val="center"/>
        <w:rPr>
          <w:rFonts w:ascii="Verdana" w:hAnsi="Verdana"/>
          <w:sz w:val="24"/>
          <w:szCs w:val="24"/>
        </w:rPr>
      </w:pPr>
      <w:r w:rsidRPr="000772F7">
        <w:rPr>
          <w:rFonts w:ascii="Verdana" w:hAnsi="Verdana"/>
          <w:sz w:val="24"/>
          <w:szCs w:val="24"/>
        </w:rPr>
        <w:t>901 904 060</w:t>
      </w:r>
      <w:r w:rsidR="00D22227">
        <w:rPr>
          <w:rFonts w:ascii="Verdana" w:hAnsi="Verdana"/>
          <w:sz w:val="24"/>
          <w:szCs w:val="24"/>
        </w:rPr>
        <w:t xml:space="preserve"> // </w:t>
      </w:r>
      <w:hyperlink r:id="rId12" w:history="1">
        <w:r w:rsidRPr="008302D4">
          <w:rPr>
            <w:rStyle w:val="Hipervnculo"/>
            <w:rFonts w:ascii="Verdana" w:hAnsi="Verdana"/>
            <w:sz w:val="24"/>
            <w:szCs w:val="24"/>
          </w:rPr>
          <w:t>soporte@sede.red.gob.es</w:t>
        </w:r>
      </w:hyperlink>
    </w:p>
    <w:p w:rsidR="00AC6344" w:rsidRPr="00AC6344" w:rsidRDefault="00AC6344" w:rsidP="00D22227">
      <w:pPr>
        <w:jc w:val="center"/>
        <w:rPr>
          <w:rFonts w:ascii="Verdana" w:hAnsi="Verdana"/>
          <w:color w:val="000000" w:themeColor="text1"/>
          <w:sz w:val="24"/>
          <w:szCs w:val="24"/>
        </w:rPr>
      </w:pPr>
      <w:bookmarkStart w:id="0" w:name="_GoBack"/>
      <w:bookmarkEnd w:id="0"/>
      <w:r w:rsidRPr="00AC6344">
        <w:rPr>
          <w:rStyle w:val="Hipervnculo"/>
          <w:rFonts w:ascii="Verdana" w:hAnsi="Verdana"/>
          <w:color w:val="000000" w:themeColor="text1"/>
          <w:sz w:val="24"/>
          <w:szCs w:val="24"/>
          <w:u w:val="none"/>
        </w:rPr>
        <w:t>--</w:t>
      </w:r>
    </w:p>
    <w:sectPr w:rsidR="00AC6344" w:rsidRPr="00AC6344">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EF0" w:rsidRDefault="00EF2EF0" w:rsidP="00353C2B">
      <w:pPr>
        <w:spacing w:after="0" w:line="240" w:lineRule="auto"/>
      </w:pPr>
      <w:r>
        <w:separator/>
      </w:r>
    </w:p>
  </w:endnote>
  <w:endnote w:type="continuationSeparator" w:id="0">
    <w:p w:rsidR="00EF2EF0" w:rsidRDefault="00EF2EF0" w:rsidP="0035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2B" w:rsidRDefault="00353C2B">
    <w:pPr>
      <w:pStyle w:val="Piedepgina"/>
    </w:pPr>
  </w:p>
  <w:p w:rsidR="00353C2B" w:rsidRDefault="00353C2B" w:rsidP="00353C2B">
    <w:pPr>
      <w:pStyle w:val="Piedepgina"/>
      <w:jc w:val="center"/>
    </w:pPr>
    <w:r>
      <w:rPr>
        <w:noProof/>
        <w:lang w:eastAsia="es-ES"/>
      </w:rPr>
      <w:drawing>
        <wp:inline distT="0" distB="0" distL="0" distR="0" wp14:anchorId="6E0CCEA1" wp14:editId="7C5FEFCB">
          <wp:extent cx="2000250" cy="99644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r="3670"/>
                  <a:stretch/>
                </pic:blipFill>
                <pic:spPr bwMode="auto">
                  <a:xfrm>
                    <a:off x="0" y="0"/>
                    <a:ext cx="2009820" cy="100121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EF0" w:rsidRDefault="00EF2EF0" w:rsidP="00353C2B">
      <w:pPr>
        <w:spacing w:after="0" w:line="240" w:lineRule="auto"/>
      </w:pPr>
      <w:r>
        <w:separator/>
      </w:r>
    </w:p>
  </w:footnote>
  <w:footnote w:type="continuationSeparator" w:id="0">
    <w:p w:rsidR="00EF2EF0" w:rsidRDefault="00EF2EF0" w:rsidP="00353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2B" w:rsidRDefault="00D22227">
    <w:pPr>
      <w:pStyle w:val="Encabezado"/>
    </w:pPr>
    <w:r>
      <w:rPr>
        <w:rFonts w:ascii="Microsoft Sans Serif" w:hAnsi="Microsoft Sans Serif" w:cs="Microsoft Sans Serif"/>
        <w:noProof/>
        <w:color w:val="D61C38"/>
        <w:sz w:val="19"/>
        <w:szCs w:val="19"/>
        <w:lang w:eastAsia="es-ES"/>
      </w:rPr>
      <w:drawing>
        <wp:anchor distT="0" distB="0" distL="114300" distR="114300" simplePos="0" relativeHeight="251659264" behindDoc="0" locked="0" layoutInCell="1" allowOverlap="1" wp14:anchorId="0C996AAB" wp14:editId="749DC82F">
          <wp:simplePos x="0" y="0"/>
          <wp:positionH relativeFrom="column">
            <wp:posOffset>3453765</wp:posOffset>
          </wp:positionH>
          <wp:positionV relativeFrom="paragraph">
            <wp:posOffset>-11430</wp:posOffset>
          </wp:positionV>
          <wp:extent cx="1685925" cy="535940"/>
          <wp:effectExtent l="0" t="0" r="9525" b="0"/>
          <wp:wrapSquare wrapText="bothSides"/>
          <wp:docPr id="8" name="Imagen 8" descr="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FEDER_cofinanciado_generico">
            <a:hlinkClick xmlns:a="http://schemas.openxmlformats.org/drawingml/2006/main" r:id="rId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FEDER_cofinanciado_generico">
                    <a:hlinkClick r:id="rId1" tooltip="&quot;&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t xml:space="preserve">        </w:t>
    </w:r>
    <w:r w:rsidR="00353C2B">
      <w:rPr>
        <w:noProof/>
        <w:lang w:eastAsia="es-ES"/>
      </w:rPr>
      <w:drawing>
        <wp:inline distT="0" distB="0" distL="0" distR="0" wp14:anchorId="50C82AF5" wp14:editId="2A24E6B3">
          <wp:extent cx="1828057" cy="523875"/>
          <wp:effectExtent l="0" t="0" r="1270" b="0"/>
          <wp:docPr id="1" name="Imagen 1" descr="Ministerio de Industria, Energía y 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Industria, Energía y Turismo"/>
                  <pic:cNvPicPr>
                    <a:picLocks noChangeAspect="1" noChangeArrowheads="1"/>
                  </pic:cNvPicPr>
                </pic:nvPicPr>
                <pic:blipFill rotWithShape="1">
                  <a:blip r:embed="rId3">
                    <a:extLst>
                      <a:ext uri="{28A0092B-C50C-407E-A947-70E740481C1C}">
                        <a14:useLocalDpi xmlns:a14="http://schemas.microsoft.com/office/drawing/2010/main" val="0"/>
                      </a:ext>
                    </a:extLst>
                  </a:blip>
                  <a:srcRect l="8609"/>
                  <a:stretch/>
                </pic:blipFill>
                <pic:spPr bwMode="auto">
                  <a:xfrm>
                    <a:off x="0" y="0"/>
                    <a:ext cx="1828057" cy="523875"/>
                  </a:xfrm>
                  <a:prstGeom prst="rect">
                    <a:avLst/>
                  </a:prstGeom>
                  <a:noFill/>
                  <a:ln>
                    <a:noFill/>
                  </a:ln>
                  <a:extLst>
                    <a:ext uri="{53640926-AAD7-44D8-BBD7-CCE9431645EC}">
                      <a14:shadowObscured xmlns:a14="http://schemas.microsoft.com/office/drawing/2010/main"/>
                    </a:ext>
                  </a:extLst>
                </pic:spPr>
              </pic:pic>
            </a:graphicData>
          </a:graphic>
        </wp:inline>
      </w:drawing>
    </w:r>
    <w:r w:rsidR="00353C2B">
      <w:rPr>
        <w:noProof/>
        <w:lang w:eastAsia="es-ES"/>
      </w:rPr>
      <w:t xml:space="preserve">   </w:t>
    </w:r>
    <w:r w:rsidR="00353C2B">
      <w:rPr>
        <w:noProof/>
        <w:lang w:eastAsia="es-ES"/>
      </w:rPr>
      <w:drawing>
        <wp:inline distT="0" distB="0" distL="0" distR="0" wp14:anchorId="64B337DE" wp14:editId="4A732D7E">
          <wp:extent cx="809625" cy="523875"/>
          <wp:effectExtent l="0" t="0" r="9525" b="0"/>
          <wp:docPr id="2" name="Imagen 2" descr="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523875"/>
                  </a:xfrm>
                  <a:prstGeom prst="rect">
                    <a:avLst/>
                  </a:prstGeom>
                  <a:noFill/>
                  <a:ln>
                    <a:noFill/>
                  </a:ln>
                </pic:spPr>
              </pic:pic>
            </a:graphicData>
          </a:graphic>
        </wp:inline>
      </w:drawing>
    </w:r>
    <w:r w:rsidR="00353C2B">
      <w:rPr>
        <w:noProof/>
        <w:lang w:eastAsia="es-ES"/>
      </w:rPr>
      <w:t xml:space="preserve">     </w:t>
    </w:r>
  </w:p>
  <w:p w:rsidR="00353C2B" w:rsidRDefault="00353C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45A7"/>
    <w:multiLevelType w:val="hybridMultilevel"/>
    <w:tmpl w:val="9BD47DD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45674EB1"/>
    <w:multiLevelType w:val="hybridMultilevel"/>
    <w:tmpl w:val="FD16DDBE"/>
    <w:lvl w:ilvl="0" w:tplc="4A167E3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98704A2"/>
    <w:multiLevelType w:val="hybridMultilevel"/>
    <w:tmpl w:val="C784CFB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54812E8E"/>
    <w:multiLevelType w:val="hybridMultilevel"/>
    <w:tmpl w:val="732A6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3237E1"/>
    <w:multiLevelType w:val="hybridMultilevel"/>
    <w:tmpl w:val="4C443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72230F"/>
    <w:multiLevelType w:val="hybridMultilevel"/>
    <w:tmpl w:val="5A32B0E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64696944"/>
    <w:multiLevelType w:val="hybridMultilevel"/>
    <w:tmpl w:val="45D8E7E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8"/>
    <w:rsid w:val="0003754E"/>
    <w:rsid w:val="000772F7"/>
    <w:rsid w:val="0011545F"/>
    <w:rsid w:val="00157987"/>
    <w:rsid w:val="00157CF3"/>
    <w:rsid w:val="001A4523"/>
    <w:rsid w:val="001E4AAC"/>
    <w:rsid w:val="00202864"/>
    <w:rsid w:val="00220E7A"/>
    <w:rsid w:val="002C0BB2"/>
    <w:rsid w:val="002D12AE"/>
    <w:rsid w:val="00353C2B"/>
    <w:rsid w:val="003E30CD"/>
    <w:rsid w:val="004723D7"/>
    <w:rsid w:val="004B2BCB"/>
    <w:rsid w:val="00504C80"/>
    <w:rsid w:val="005A7451"/>
    <w:rsid w:val="005E7D9C"/>
    <w:rsid w:val="00666D61"/>
    <w:rsid w:val="007956F8"/>
    <w:rsid w:val="007D155A"/>
    <w:rsid w:val="007F3811"/>
    <w:rsid w:val="00885EC3"/>
    <w:rsid w:val="008A14A8"/>
    <w:rsid w:val="008C2F1A"/>
    <w:rsid w:val="009574F4"/>
    <w:rsid w:val="009660F4"/>
    <w:rsid w:val="00992344"/>
    <w:rsid w:val="00A34454"/>
    <w:rsid w:val="00AC6344"/>
    <w:rsid w:val="00BC2CD7"/>
    <w:rsid w:val="00BF60B6"/>
    <w:rsid w:val="00C02B84"/>
    <w:rsid w:val="00CB5C19"/>
    <w:rsid w:val="00CE76B4"/>
    <w:rsid w:val="00D22227"/>
    <w:rsid w:val="00DC5CE7"/>
    <w:rsid w:val="00E1663B"/>
    <w:rsid w:val="00E33195"/>
    <w:rsid w:val="00E52051"/>
    <w:rsid w:val="00EC2429"/>
    <w:rsid w:val="00ED08AC"/>
    <w:rsid w:val="00EF2EF0"/>
    <w:rsid w:val="00EF39E7"/>
    <w:rsid w:val="00F930C5"/>
    <w:rsid w:val="00FF4C42"/>
    <w:rsid w:val="00FF78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30CD"/>
    <w:rPr>
      <w:color w:val="0000FF" w:themeColor="hyperlink"/>
      <w:u w:val="single"/>
    </w:rPr>
  </w:style>
  <w:style w:type="paragraph" w:styleId="Encabezado">
    <w:name w:val="header"/>
    <w:basedOn w:val="Normal"/>
    <w:link w:val="EncabezadoCar"/>
    <w:uiPriority w:val="99"/>
    <w:unhideWhenUsed/>
    <w:rsid w:val="00353C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3C2B"/>
  </w:style>
  <w:style w:type="paragraph" w:styleId="Piedepgina">
    <w:name w:val="footer"/>
    <w:basedOn w:val="Normal"/>
    <w:link w:val="PiedepginaCar"/>
    <w:uiPriority w:val="99"/>
    <w:unhideWhenUsed/>
    <w:rsid w:val="00353C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3C2B"/>
  </w:style>
  <w:style w:type="paragraph" w:styleId="Textodeglobo">
    <w:name w:val="Balloon Text"/>
    <w:basedOn w:val="Normal"/>
    <w:link w:val="TextodegloboCar"/>
    <w:uiPriority w:val="99"/>
    <w:semiHidden/>
    <w:unhideWhenUsed/>
    <w:rsid w:val="00353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C2B"/>
    <w:rPr>
      <w:rFonts w:ascii="Tahoma" w:hAnsi="Tahoma" w:cs="Tahoma"/>
      <w:sz w:val="16"/>
      <w:szCs w:val="16"/>
    </w:rPr>
  </w:style>
  <w:style w:type="paragraph" w:styleId="Prrafodelista">
    <w:name w:val="List Paragraph"/>
    <w:basedOn w:val="Normal"/>
    <w:uiPriority w:val="34"/>
    <w:qFormat/>
    <w:rsid w:val="007D155A"/>
    <w:pPr>
      <w:ind w:left="720"/>
      <w:contextualSpacing/>
    </w:pPr>
  </w:style>
  <w:style w:type="character" w:styleId="Hipervnculovisitado">
    <w:name w:val="FollowedHyperlink"/>
    <w:basedOn w:val="Fuentedeprrafopredeter"/>
    <w:uiPriority w:val="99"/>
    <w:semiHidden/>
    <w:unhideWhenUsed/>
    <w:rsid w:val="00E33195"/>
    <w:rPr>
      <w:color w:val="800080" w:themeColor="followedHyperlink"/>
      <w:u w:val="single"/>
    </w:rPr>
  </w:style>
  <w:style w:type="character" w:styleId="Refdecomentario">
    <w:name w:val="annotation reference"/>
    <w:basedOn w:val="Fuentedeprrafopredeter"/>
    <w:uiPriority w:val="99"/>
    <w:semiHidden/>
    <w:unhideWhenUsed/>
    <w:rsid w:val="00E33195"/>
    <w:rPr>
      <w:sz w:val="16"/>
      <w:szCs w:val="16"/>
    </w:rPr>
  </w:style>
  <w:style w:type="paragraph" w:styleId="Textocomentario">
    <w:name w:val="annotation text"/>
    <w:basedOn w:val="Normal"/>
    <w:link w:val="TextocomentarioCar"/>
    <w:uiPriority w:val="99"/>
    <w:semiHidden/>
    <w:unhideWhenUsed/>
    <w:rsid w:val="00E331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3195"/>
    <w:rPr>
      <w:sz w:val="20"/>
      <w:szCs w:val="20"/>
    </w:rPr>
  </w:style>
  <w:style w:type="paragraph" w:styleId="Asuntodelcomentario">
    <w:name w:val="annotation subject"/>
    <w:basedOn w:val="Textocomentario"/>
    <w:next w:val="Textocomentario"/>
    <w:link w:val="AsuntodelcomentarioCar"/>
    <w:uiPriority w:val="99"/>
    <w:semiHidden/>
    <w:unhideWhenUsed/>
    <w:rsid w:val="00E33195"/>
    <w:rPr>
      <w:b/>
      <w:bCs/>
    </w:rPr>
  </w:style>
  <w:style w:type="character" w:customStyle="1" w:styleId="AsuntodelcomentarioCar">
    <w:name w:val="Asunto del comentario Car"/>
    <w:basedOn w:val="TextocomentarioCar"/>
    <w:link w:val="Asuntodelcomentario"/>
    <w:uiPriority w:val="99"/>
    <w:semiHidden/>
    <w:rsid w:val="00E331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30CD"/>
    <w:rPr>
      <w:color w:val="0000FF" w:themeColor="hyperlink"/>
      <w:u w:val="single"/>
    </w:rPr>
  </w:style>
  <w:style w:type="paragraph" w:styleId="Encabezado">
    <w:name w:val="header"/>
    <w:basedOn w:val="Normal"/>
    <w:link w:val="EncabezadoCar"/>
    <w:uiPriority w:val="99"/>
    <w:unhideWhenUsed/>
    <w:rsid w:val="00353C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3C2B"/>
  </w:style>
  <w:style w:type="paragraph" w:styleId="Piedepgina">
    <w:name w:val="footer"/>
    <w:basedOn w:val="Normal"/>
    <w:link w:val="PiedepginaCar"/>
    <w:uiPriority w:val="99"/>
    <w:unhideWhenUsed/>
    <w:rsid w:val="00353C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3C2B"/>
  </w:style>
  <w:style w:type="paragraph" w:styleId="Textodeglobo">
    <w:name w:val="Balloon Text"/>
    <w:basedOn w:val="Normal"/>
    <w:link w:val="TextodegloboCar"/>
    <w:uiPriority w:val="99"/>
    <w:semiHidden/>
    <w:unhideWhenUsed/>
    <w:rsid w:val="00353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C2B"/>
    <w:rPr>
      <w:rFonts w:ascii="Tahoma" w:hAnsi="Tahoma" w:cs="Tahoma"/>
      <w:sz w:val="16"/>
      <w:szCs w:val="16"/>
    </w:rPr>
  </w:style>
  <w:style w:type="paragraph" w:styleId="Prrafodelista">
    <w:name w:val="List Paragraph"/>
    <w:basedOn w:val="Normal"/>
    <w:uiPriority w:val="34"/>
    <w:qFormat/>
    <w:rsid w:val="007D155A"/>
    <w:pPr>
      <w:ind w:left="720"/>
      <w:contextualSpacing/>
    </w:pPr>
  </w:style>
  <w:style w:type="character" w:styleId="Hipervnculovisitado">
    <w:name w:val="FollowedHyperlink"/>
    <w:basedOn w:val="Fuentedeprrafopredeter"/>
    <w:uiPriority w:val="99"/>
    <w:semiHidden/>
    <w:unhideWhenUsed/>
    <w:rsid w:val="00E33195"/>
    <w:rPr>
      <w:color w:val="800080" w:themeColor="followedHyperlink"/>
      <w:u w:val="single"/>
    </w:rPr>
  </w:style>
  <w:style w:type="character" w:styleId="Refdecomentario">
    <w:name w:val="annotation reference"/>
    <w:basedOn w:val="Fuentedeprrafopredeter"/>
    <w:uiPriority w:val="99"/>
    <w:semiHidden/>
    <w:unhideWhenUsed/>
    <w:rsid w:val="00E33195"/>
    <w:rPr>
      <w:sz w:val="16"/>
      <w:szCs w:val="16"/>
    </w:rPr>
  </w:style>
  <w:style w:type="paragraph" w:styleId="Textocomentario">
    <w:name w:val="annotation text"/>
    <w:basedOn w:val="Normal"/>
    <w:link w:val="TextocomentarioCar"/>
    <w:uiPriority w:val="99"/>
    <w:semiHidden/>
    <w:unhideWhenUsed/>
    <w:rsid w:val="00E331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3195"/>
    <w:rPr>
      <w:sz w:val="20"/>
      <w:szCs w:val="20"/>
    </w:rPr>
  </w:style>
  <w:style w:type="paragraph" w:styleId="Asuntodelcomentario">
    <w:name w:val="annotation subject"/>
    <w:basedOn w:val="Textocomentario"/>
    <w:next w:val="Textocomentario"/>
    <w:link w:val="AsuntodelcomentarioCar"/>
    <w:uiPriority w:val="99"/>
    <w:semiHidden/>
    <w:unhideWhenUsed/>
    <w:rsid w:val="00E33195"/>
    <w:rPr>
      <w:b/>
      <w:bCs/>
    </w:rPr>
  </w:style>
  <w:style w:type="character" w:customStyle="1" w:styleId="AsuntodelcomentarioCar">
    <w:name w:val="Asunto del comentario Car"/>
    <w:basedOn w:val="TextocomentarioCar"/>
    <w:link w:val="Asuntodelcomentario"/>
    <w:uiPriority w:val="99"/>
    <w:semiHidden/>
    <w:rsid w:val="00E33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porte@sede.red.gob.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vocatorias@red.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t.ly/1QVZTP4" TargetMode="External"/><Relationship Id="rId4" Type="http://schemas.microsoft.com/office/2007/relationships/stylesWithEffects" Target="stylesWithEffects.xml"/><Relationship Id="rId9" Type="http://schemas.openxmlformats.org/officeDocument/2006/relationships/hyperlink" Target="http://bit.ly/1QVZTP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intranet.red.es/documentos/identidad/logotipo/feder_cofinanciado_generico.pdf" TargetMode="External"/><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DA95-ABAA-4728-BC89-527CE601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Alvarez-Canal Estrada</dc:creator>
  <cp:lastModifiedBy>Jose Alvarez-Canal Estrada</cp:lastModifiedBy>
  <cp:revision>3</cp:revision>
  <dcterms:created xsi:type="dcterms:W3CDTF">2015-09-28T12:21:00Z</dcterms:created>
  <dcterms:modified xsi:type="dcterms:W3CDTF">2015-09-28T12:21:00Z</dcterms:modified>
</cp:coreProperties>
</file>