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3C80C" w14:textId="1ED1B7C9" w:rsidR="00FD18E7" w:rsidRDefault="00444F2B" w:rsidP="000F5B29">
      <w:pPr>
        <w:spacing w:after="200" w:line="276" w:lineRule="auto"/>
        <w:jc w:val="both"/>
        <w:rPr>
          <w:rFonts w:asciiTheme="minorHAnsi" w:hAnsiTheme="minorHAnsi"/>
          <w:b/>
          <w:sz w:val="28"/>
          <w:szCs w:val="28"/>
          <w:lang w:val="es-ES"/>
        </w:rPr>
      </w:pPr>
      <w:r>
        <w:rPr>
          <w:noProof/>
          <w:color w:val="1F497D"/>
          <w:lang w:val="es-ES" w:eastAsia="es-ES"/>
        </w:rPr>
        <w:drawing>
          <wp:inline distT="0" distB="0" distL="0" distR="0" wp14:anchorId="6E846339" wp14:editId="6F19A564">
            <wp:extent cx="5396230" cy="957580"/>
            <wp:effectExtent l="0" t="0" r="0" b="0"/>
            <wp:docPr id="1" name="Imagen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96230" cy="957580"/>
                    </a:xfrm>
                    <a:prstGeom prst="rect">
                      <a:avLst/>
                    </a:prstGeom>
                    <a:noFill/>
                    <a:ln>
                      <a:noFill/>
                    </a:ln>
                  </pic:spPr>
                </pic:pic>
              </a:graphicData>
            </a:graphic>
          </wp:inline>
        </w:drawing>
      </w:r>
    </w:p>
    <w:p w14:paraId="013FD781" w14:textId="600845F6" w:rsidR="000F5B29" w:rsidRPr="00444F2B" w:rsidRDefault="000F5B29" w:rsidP="000F5B29">
      <w:pPr>
        <w:spacing w:after="200" w:line="276" w:lineRule="auto"/>
        <w:jc w:val="both"/>
        <w:rPr>
          <w:rFonts w:asciiTheme="minorHAnsi" w:hAnsiTheme="minorHAnsi"/>
          <w:b/>
          <w:sz w:val="28"/>
          <w:szCs w:val="28"/>
          <w:lang w:val="es-ES"/>
        </w:rPr>
      </w:pPr>
      <w:r w:rsidRPr="00444F2B">
        <w:rPr>
          <w:rFonts w:asciiTheme="minorHAnsi" w:hAnsiTheme="minorHAnsi"/>
          <w:b/>
          <w:sz w:val="28"/>
          <w:szCs w:val="28"/>
          <w:lang w:val="es-ES"/>
        </w:rPr>
        <w:t>La aceleración digital impulsaría un</w:t>
      </w:r>
      <w:r w:rsidR="00D645A2" w:rsidRPr="00444F2B">
        <w:rPr>
          <w:rFonts w:asciiTheme="minorHAnsi" w:hAnsiTheme="minorHAnsi"/>
          <w:b/>
          <w:sz w:val="28"/>
          <w:szCs w:val="28"/>
          <w:lang w:val="es-ES"/>
        </w:rPr>
        <w:t xml:space="preserve"> 3,6</w:t>
      </w:r>
      <w:r w:rsidRPr="00444F2B">
        <w:rPr>
          <w:rFonts w:asciiTheme="minorHAnsi" w:hAnsiTheme="minorHAnsi"/>
          <w:b/>
          <w:sz w:val="28"/>
          <w:szCs w:val="28"/>
          <w:lang w:val="es-ES"/>
        </w:rPr>
        <w:t>% el PIB en 2021</w:t>
      </w:r>
    </w:p>
    <w:p w14:paraId="79541F60" w14:textId="77777777" w:rsidR="00931B5C" w:rsidRPr="00444F2B" w:rsidRDefault="000F5B29" w:rsidP="00931B5C">
      <w:pPr>
        <w:spacing w:after="200" w:line="276" w:lineRule="auto"/>
        <w:jc w:val="both"/>
        <w:rPr>
          <w:rFonts w:asciiTheme="minorHAnsi" w:hAnsiTheme="minorHAnsi"/>
          <w:b/>
          <w:lang w:val="es-ES"/>
        </w:rPr>
      </w:pPr>
      <w:r w:rsidRPr="00444F2B">
        <w:rPr>
          <w:rFonts w:asciiTheme="minorHAnsi" w:hAnsiTheme="minorHAnsi"/>
          <w:b/>
          <w:lang w:val="es-ES"/>
        </w:rPr>
        <w:t xml:space="preserve">El informe ‘Economía Digital. Una oportunidad para España’ destaca que alcanzar este objetivo pasa por generar talento, </w:t>
      </w:r>
      <w:r w:rsidR="00931B5C" w:rsidRPr="00444F2B">
        <w:rPr>
          <w:rFonts w:asciiTheme="minorHAnsi" w:hAnsiTheme="minorHAnsi"/>
          <w:b/>
          <w:lang w:val="es-ES"/>
        </w:rPr>
        <w:t xml:space="preserve">aumentar </w:t>
      </w:r>
      <w:r w:rsidRPr="00444F2B">
        <w:rPr>
          <w:rFonts w:asciiTheme="minorHAnsi" w:hAnsiTheme="minorHAnsi"/>
          <w:b/>
          <w:lang w:val="es-ES"/>
        </w:rPr>
        <w:t>las inversiones, adaptar la regulación a las nuevas tecnologías y por potenciar las plataformas digitales</w:t>
      </w:r>
    </w:p>
    <w:p w14:paraId="044DB776" w14:textId="680DC8E3" w:rsidR="00931B5C" w:rsidRPr="00444F2B" w:rsidRDefault="00931B5C" w:rsidP="00931B5C">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lang w:val="es-ES"/>
        </w:rPr>
        <w:t xml:space="preserve">Una aceleración de la digitalización podría aumentar un 3,6% el PIB en 2021, según el estudio elaborado por Accenture Strategy para Mobile World Capital Barcelona que hoy ha sido presentado en primicia en el 31 Encuentro de la Economía Digital y las Telecomunicaciones </w:t>
      </w:r>
      <w:r w:rsidR="00FD18E7" w:rsidRPr="00444F2B">
        <w:rPr>
          <w:rFonts w:asciiTheme="minorHAnsi" w:eastAsia="Calibri" w:hAnsiTheme="minorHAnsi" w:cs="Calibri"/>
          <w:sz w:val="22"/>
          <w:szCs w:val="22"/>
          <w:lang w:val="es-ES"/>
        </w:rPr>
        <w:t>organizado por AMETIC</w:t>
      </w:r>
      <w:r w:rsidRPr="00444F2B">
        <w:rPr>
          <w:rFonts w:asciiTheme="minorHAnsi" w:eastAsia="Calibri" w:hAnsiTheme="minorHAnsi" w:cs="Calibri"/>
          <w:sz w:val="22"/>
          <w:szCs w:val="22"/>
          <w:lang w:val="es-ES"/>
        </w:rPr>
        <w:t xml:space="preserve"> en Santander. </w:t>
      </w:r>
    </w:p>
    <w:p w14:paraId="2D7285C4" w14:textId="7DE8708A" w:rsidR="00D40F44" w:rsidRPr="00444F2B" w:rsidRDefault="00D40F44"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 xml:space="preserve">El informe, cuyas líneas maestras han sido </w:t>
      </w:r>
      <w:r w:rsidR="00E04C6D" w:rsidRPr="00444F2B">
        <w:rPr>
          <w:rFonts w:asciiTheme="minorHAnsi" w:eastAsia="Calibri" w:hAnsiTheme="minorHAnsi" w:cs="Calibri"/>
          <w:sz w:val="22"/>
          <w:szCs w:val="22"/>
        </w:rPr>
        <w:t>dadas a conocer</w:t>
      </w:r>
      <w:r w:rsidRPr="00444F2B">
        <w:rPr>
          <w:rFonts w:asciiTheme="minorHAnsi" w:eastAsia="Calibri" w:hAnsiTheme="minorHAnsi" w:cs="Calibri"/>
          <w:sz w:val="22"/>
          <w:szCs w:val="22"/>
        </w:rPr>
        <w:t xml:space="preserve"> por el </w:t>
      </w:r>
      <w:r w:rsidRPr="00444F2B">
        <w:rPr>
          <w:rFonts w:asciiTheme="minorHAnsi" w:eastAsia="Calibri" w:hAnsiTheme="minorHAnsi" w:cs="Calibri"/>
          <w:i/>
          <w:sz w:val="22"/>
          <w:szCs w:val="22"/>
        </w:rPr>
        <w:t>managing director</w:t>
      </w:r>
      <w:r w:rsidRPr="00444F2B">
        <w:rPr>
          <w:rFonts w:asciiTheme="minorHAnsi" w:eastAsia="Calibri" w:hAnsiTheme="minorHAnsi" w:cs="Calibri"/>
          <w:sz w:val="22"/>
          <w:szCs w:val="22"/>
        </w:rPr>
        <w:t xml:space="preserve"> de Accenture</w:t>
      </w:r>
      <w:r w:rsidR="00AB03FD">
        <w:rPr>
          <w:rFonts w:asciiTheme="minorHAnsi" w:eastAsia="Calibri" w:hAnsiTheme="minorHAnsi" w:cs="Calibri"/>
          <w:sz w:val="22"/>
          <w:szCs w:val="22"/>
        </w:rPr>
        <w:t xml:space="preserve"> Strategy</w:t>
      </w:r>
      <w:r w:rsidRPr="00444F2B">
        <w:rPr>
          <w:rFonts w:asciiTheme="minorHAnsi" w:eastAsia="Calibri" w:hAnsiTheme="minorHAnsi" w:cs="Calibri"/>
          <w:sz w:val="22"/>
          <w:szCs w:val="22"/>
        </w:rPr>
        <w:t>, Alberto Zamora</w:t>
      </w:r>
      <w:r w:rsidR="00F45584" w:rsidRPr="00444F2B">
        <w:rPr>
          <w:rFonts w:asciiTheme="minorHAnsi" w:eastAsia="Calibri" w:hAnsiTheme="minorHAnsi" w:cs="Calibri"/>
          <w:sz w:val="22"/>
          <w:szCs w:val="22"/>
        </w:rPr>
        <w:t>, estima que este incremento adici</w:t>
      </w:r>
      <w:r w:rsidR="00E04C6D" w:rsidRPr="00444F2B">
        <w:rPr>
          <w:rFonts w:asciiTheme="minorHAnsi" w:eastAsia="Calibri" w:hAnsiTheme="minorHAnsi" w:cs="Calibri"/>
          <w:sz w:val="22"/>
          <w:szCs w:val="22"/>
        </w:rPr>
        <w:t>onal de la</w:t>
      </w:r>
      <w:r w:rsidR="00F45584" w:rsidRPr="00444F2B">
        <w:rPr>
          <w:rFonts w:asciiTheme="minorHAnsi" w:eastAsia="Calibri" w:hAnsiTheme="minorHAnsi" w:cs="Calibri"/>
          <w:sz w:val="22"/>
          <w:szCs w:val="22"/>
        </w:rPr>
        <w:t xml:space="preserve"> economía nacional </w:t>
      </w:r>
      <w:r w:rsidR="00E04C6D" w:rsidRPr="00444F2B">
        <w:rPr>
          <w:rFonts w:asciiTheme="minorHAnsi" w:eastAsia="Calibri" w:hAnsiTheme="minorHAnsi" w:cs="Calibri"/>
          <w:sz w:val="22"/>
          <w:szCs w:val="22"/>
        </w:rPr>
        <w:t>se traduci</w:t>
      </w:r>
      <w:r w:rsidR="00F45584" w:rsidRPr="00444F2B">
        <w:rPr>
          <w:rFonts w:asciiTheme="minorHAnsi" w:eastAsia="Calibri" w:hAnsiTheme="minorHAnsi" w:cs="Calibri"/>
          <w:sz w:val="22"/>
          <w:szCs w:val="22"/>
        </w:rPr>
        <w:t>ría en unos 48,5 mil millones de dólares.</w:t>
      </w:r>
    </w:p>
    <w:p w14:paraId="19F6AD58" w14:textId="3EF698CE" w:rsidR="00454167" w:rsidRPr="00444F2B" w:rsidRDefault="00E04C6D" w:rsidP="00454167">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 xml:space="preserve">Con todo, este trabajo recoge que </w:t>
      </w:r>
      <w:r w:rsidR="00454167" w:rsidRPr="00444F2B">
        <w:rPr>
          <w:rFonts w:asciiTheme="minorHAnsi" w:eastAsia="Calibri" w:hAnsiTheme="minorHAnsi" w:cs="Calibri"/>
          <w:sz w:val="22"/>
          <w:szCs w:val="22"/>
        </w:rPr>
        <w:t>la digitalización de la economía española está retrasada frente a los líderes. A</w:t>
      </w:r>
      <w:r w:rsidR="00FD18E7" w:rsidRPr="00444F2B">
        <w:rPr>
          <w:rFonts w:asciiTheme="minorHAnsi" w:eastAsia="Calibri" w:hAnsiTheme="minorHAnsi" w:cs="Calibri"/>
          <w:sz w:val="22"/>
          <w:szCs w:val="22"/>
        </w:rPr>
        <w:t>sí y a</w:t>
      </w:r>
      <w:r w:rsidR="00454167" w:rsidRPr="00444F2B">
        <w:rPr>
          <w:rFonts w:asciiTheme="minorHAnsi" w:eastAsia="Calibri" w:hAnsiTheme="minorHAnsi" w:cs="Calibri"/>
          <w:sz w:val="22"/>
          <w:szCs w:val="22"/>
        </w:rPr>
        <w:t xml:space="preserve"> través</w:t>
      </w:r>
      <w:r w:rsidR="00FD18E7" w:rsidRPr="00444F2B">
        <w:rPr>
          <w:rFonts w:asciiTheme="minorHAnsi" w:eastAsia="Calibri" w:hAnsiTheme="minorHAnsi" w:cs="Calibri"/>
          <w:sz w:val="22"/>
          <w:szCs w:val="22"/>
        </w:rPr>
        <w:t xml:space="preserve"> del análisis</w:t>
      </w:r>
      <w:r w:rsidR="00454167" w:rsidRPr="00444F2B">
        <w:rPr>
          <w:rFonts w:asciiTheme="minorHAnsi" w:eastAsia="Calibri" w:hAnsiTheme="minorHAnsi" w:cs="Calibri"/>
          <w:sz w:val="22"/>
          <w:szCs w:val="22"/>
        </w:rPr>
        <w:t xml:space="preserve"> de 36 variables, el estudio concluye que España ocupa el puesto 11 de 14, con una contribución digital al PIB que en 2016 fue del 19,7%, catorce puntos por debajo de la registrada en EE UU.</w:t>
      </w:r>
    </w:p>
    <w:p w14:paraId="4A7B521C" w14:textId="5C7E9668" w:rsidR="00454167" w:rsidRPr="00444F2B" w:rsidRDefault="00454167" w:rsidP="00454167">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Según explicó Zamora, este retraso se identifica con cuatro limitaciones:</w:t>
      </w:r>
      <w:r w:rsidRPr="00444F2B">
        <w:rPr>
          <w:rFonts w:asciiTheme="minorHAnsi" w:eastAsia="Calibri" w:hAnsiTheme="minorHAnsi" w:cs="Calibri"/>
          <w:bCs/>
          <w:sz w:val="22"/>
          <w:szCs w:val="22"/>
        </w:rPr>
        <w:t xml:space="preserve"> la necesidad de una estrategia digital clara en las empresas</w:t>
      </w:r>
      <w:r w:rsidRPr="00444F2B">
        <w:rPr>
          <w:rFonts w:asciiTheme="minorHAnsi" w:eastAsia="Calibri" w:hAnsiTheme="minorHAnsi" w:cs="Calibri"/>
          <w:sz w:val="22"/>
          <w:szCs w:val="22"/>
        </w:rPr>
        <w:t xml:space="preserve"> (solo el 38% de los ejecutivos en España dicen tener un Plan de Transformación Digital. De hecho, la falta de visión digital de los líderes de las organizaciones es todavía una de las principales razones de esta baja adopción digital en España), </w:t>
      </w:r>
      <w:r w:rsidRPr="00444F2B">
        <w:rPr>
          <w:rFonts w:asciiTheme="minorHAnsi" w:eastAsia="Calibri" w:hAnsiTheme="minorHAnsi" w:cs="Calibri"/>
          <w:bCs/>
          <w:sz w:val="22"/>
          <w:szCs w:val="22"/>
        </w:rPr>
        <w:t>una inversión en innovación limitada (</w:t>
      </w:r>
      <w:r w:rsidRPr="00444F2B">
        <w:rPr>
          <w:rFonts w:asciiTheme="minorHAnsi" w:eastAsia="Calibri" w:hAnsiTheme="minorHAnsi" w:cs="Calibri"/>
          <w:sz w:val="22"/>
          <w:szCs w:val="22"/>
        </w:rPr>
        <w:t xml:space="preserve">de acuerdo a Eurostat, España invirtió 1,2% del PIB en R+D+i en 2013 frente al 2,9% de Alemania o el 2,2% de Francia, una inversión que la agencia estadística europea recuerda que procede en un 28% de las universidades, un 19% de la administración pública y el 53% restante del sector privado, cuando en Europa la media del peso de este sector asciende a 63,2%), </w:t>
      </w:r>
      <w:r w:rsidRPr="00444F2B">
        <w:rPr>
          <w:rFonts w:asciiTheme="minorHAnsi" w:eastAsia="Calibri" w:hAnsiTheme="minorHAnsi" w:cs="Calibri"/>
          <w:bCs/>
          <w:sz w:val="22"/>
          <w:szCs w:val="22"/>
        </w:rPr>
        <w:t>un talento digital insuficiente</w:t>
      </w:r>
      <w:r w:rsidRPr="00444F2B">
        <w:rPr>
          <w:rFonts w:asciiTheme="minorHAnsi" w:eastAsia="Calibri" w:hAnsiTheme="minorHAnsi" w:cs="Calibri"/>
          <w:sz w:val="22"/>
          <w:szCs w:val="22"/>
        </w:rPr>
        <w:t xml:space="preserve"> (</w:t>
      </w:r>
      <w:r w:rsidR="00E57B75" w:rsidRPr="00444F2B">
        <w:rPr>
          <w:rFonts w:asciiTheme="minorHAnsi" w:eastAsia="Calibri" w:hAnsiTheme="minorHAnsi" w:cs="Calibri"/>
          <w:sz w:val="22"/>
          <w:szCs w:val="22"/>
        </w:rPr>
        <w:t xml:space="preserve">que el informe achaca </w:t>
      </w:r>
      <w:r w:rsidRPr="00444F2B">
        <w:rPr>
          <w:rFonts w:asciiTheme="minorHAnsi" w:eastAsia="Calibri" w:hAnsiTheme="minorHAnsi" w:cs="Calibri"/>
          <w:sz w:val="22"/>
          <w:szCs w:val="22"/>
        </w:rPr>
        <w:t xml:space="preserve">en </w:t>
      </w:r>
      <w:r w:rsidR="00E57B75" w:rsidRPr="00444F2B">
        <w:rPr>
          <w:rFonts w:asciiTheme="minorHAnsi" w:eastAsia="Calibri" w:hAnsiTheme="minorHAnsi" w:cs="Calibri"/>
          <w:sz w:val="22"/>
          <w:szCs w:val="22"/>
        </w:rPr>
        <w:t>parte</w:t>
      </w:r>
      <w:r w:rsidRPr="00444F2B">
        <w:rPr>
          <w:rFonts w:asciiTheme="minorHAnsi" w:eastAsia="Calibri" w:hAnsiTheme="minorHAnsi" w:cs="Calibri"/>
          <w:sz w:val="22"/>
          <w:szCs w:val="22"/>
        </w:rPr>
        <w:t xml:space="preserve"> al alto nivel de desempleo juvenil, que supera el 43% cuando en Alemania</w:t>
      </w:r>
      <w:r w:rsidR="00FD18E7" w:rsidRPr="00444F2B">
        <w:rPr>
          <w:rFonts w:asciiTheme="minorHAnsi" w:eastAsia="Calibri" w:hAnsiTheme="minorHAnsi" w:cs="Calibri"/>
          <w:sz w:val="22"/>
          <w:szCs w:val="22"/>
        </w:rPr>
        <w:t xml:space="preserve"> no llega al 7%;</w:t>
      </w:r>
      <w:r w:rsidRPr="00444F2B">
        <w:rPr>
          <w:rFonts w:asciiTheme="minorHAnsi" w:eastAsia="Calibri" w:hAnsiTheme="minorHAnsi" w:cs="Calibri"/>
          <w:sz w:val="22"/>
          <w:szCs w:val="22"/>
        </w:rPr>
        <w:t xml:space="preserve"> la baja movilidad geográfica y la menor inversión en formación digital debida a los efectos de la crisis financiera de 2008. Según el informe </w:t>
      </w:r>
      <w:r w:rsidRPr="00444F2B">
        <w:rPr>
          <w:rFonts w:asciiTheme="minorHAnsi" w:eastAsia="Calibri" w:hAnsiTheme="minorHAnsi" w:cs="Calibri"/>
          <w:i/>
          <w:iCs/>
          <w:sz w:val="22"/>
          <w:szCs w:val="22"/>
        </w:rPr>
        <w:t>E-skills for Jobs in Europe</w:t>
      </w:r>
      <w:r w:rsidRPr="00444F2B">
        <w:rPr>
          <w:rFonts w:asciiTheme="minorHAnsi" w:eastAsia="Calibri" w:hAnsiTheme="minorHAnsi" w:cs="Calibri"/>
          <w:sz w:val="22"/>
          <w:szCs w:val="22"/>
        </w:rPr>
        <w:t xml:space="preserve"> de la CE, se estima que en 2020 habrá un millón de puestos de trabajo en Europa que no se cubrirán por la carencia de talento digital)</w:t>
      </w:r>
      <w:r w:rsidR="00E57B75" w:rsidRPr="00444F2B">
        <w:rPr>
          <w:rFonts w:asciiTheme="minorHAnsi" w:eastAsia="Calibri" w:hAnsiTheme="minorHAnsi" w:cs="Calibri"/>
          <w:sz w:val="22"/>
          <w:szCs w:val="22"/>
        </w:rPr>
        <w:t>, y a la existencia de unos</w:t>
      </w:r>
      <w:r w:rsidRPr="00444F2B">
        <w:rPr>
          <w:rFonts w:asciiTheme="minorHAnsi" w:eastAsia="Calibri" w:hAnsiTheme="minorHAnsi" w:cs="Calibri"/>
          <w:sz w:val="22"/>
          <w:szCs w:val="22"/>
        </w:rPr>
        <w:t xml:space="preserve"> marcos regulatorios</w:t>
      </w:r>
      <w:r w:rsidR="00E57B75" w:rsidRPr="00444F2B">
        <w:rPr>
          <w:rFonts w:asciiTheme="minorHAnsi" w:eastAsia="Calibri" w:hAnsiTheme="minorHAnsi" w:cs="Calibri"/>
          <w:sz w:val="22"/>
          <w:szCs w:val="22"/>
        </w:rPr>
        <w:t xml:space="preserve"> que, resalta,</w:t>
      </w:r>
      <w:r w:rsidRPr="00444F2B">
        <w:rPr>
          <w:rFonts w:asciiTheme="minorHAnsi" w:eastAsia="Calibri" w:hAnsiTheme="minorHAnsi" w:cs="Calibri"/>
          <w:sz w:val="22"/>
          <w:szCs w:val="22"/>
        </w:rPr>
        <w:t xml:space="preserve"> no están evolucionando tan rápidamente como la tecnología, especialmente en áreas como los impuestos, la creación de un mercado digital único o la adopción de nuevos modelos de negocio como la economía circular.</w:t>
      </w:r>
    </w:p>
    <w:p w14:paraId="75888E9D" w14:textId="280B1581" w:rsidR="00583C0F" w:rsidRPr="00444F2B" w:rsidRDefault="00E57B75"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lastRenderedPageBreak/>
        <w:t xml:space="preserve">Para tratar de superar </w:t>
      </w:r>
      <w:r w:rsidR="00583C0F" w:rsidRPr="00444F2B">
        <w:rPr>
          <w:rFonts w:asciiTheme="minorHAnsi" w:eastAsia="Calibri" w:hAnsiTheme="minorHAnsi" w:cs="Calibri"/>
          <w:sz w:val="22"/>
          <w:szCs w:val="22"/>
        </w:rPr>
        <w:t xml:space="preserve">estas barreras y acelerar el proceso de digitalización en España, el estudio recomienda </w:t>
      </w:r>
      <w:r w:rsidR="000F5B29" w:rsidRPr="00444F2B">
        <w:rPr>
          <w:rFonts w:asciiTheme="minorHAnsi" w:eastAsia="Calibri" w:hAnsiTheme="minorHAnsi" w:cs="Calibri"/>
          <w:sz w:val="22"/>
          <w:szCs w:val="22"/>
        </w:rPr>
        <w:t>actuaciones por parte de las empr</w:t>
      </w:r>
      <w:r w:rsidR="00583C0F" w:rsidRPr="00444F2B">
        <w:rPr>
          <w:rFonts w:asciiTheme="minorHAnsi" w:eastAsia="Calibri" w:hAnsiTheme="minorHAnsi" w:cs="Calibri"/>
          <w:sz w:val="22"/>
          <w:szCs w:val="22"/>
        </w:rPr>
        <w:t>esas y las administraciones públicas</w:t>
      </w:r>
      <w:r w:rsidR="000F5B29" w:rsidRPr="00444F2B">
        <w:rPr>
          <w:rFonts w:asciiTheme="minorHAnsi" w:eastAsia="Calibri" w:hAnsiTheme="minorHAnsi" w:cs="Calibri"/>
          <w:sz w:val="22"/>
          <w:szCs w:val="22"/>
        </w:rPr>
        <w:t xml:space="preserve"> a través de </w:t>
      </w:r>
      <w:r w:rsidR="005F24A6" w:rsidRPr="00444F2B">
        <w:rPr>
          <w:rFonts w:asciiTheme="minorHAnsi" w:eastAsia="Calibri" w:hAnsiTheme="minorHAnsi" w:cs="Calibri"/>
          <w:sz w:val="22"/>
          <w:szCs w:val="22"/>
        </w:rPr>
        <w:t xml:space="preserve">un programa </w:t>
      </w:r>
      <w:r w:rsidR="00FD18E7" w:rsidRPr="00444F2B">
        <w:rPr>
          <w:rFonts w:asciiTheme="minorHAnsi" w:eastAsia="Calibri" w:hAnsiTheme="minorHAnsi" w:cs="Calibri"/>
          <w:sz w:val="22"/>
          <w:szCs w:val="22"/>
        </w:rPr>
        <w:t>centrado</w:t>
      </w:r>
      <w:r w:rsidR="005F24A6" w:rsidRPr="00444F2B">
        <w:rPr>
          <w:rFonts w:asciiTheme="minorHAnsi" w:eastAsia="Calibri" w:hAnsiTheme="minorHAnsi" w:cs="Calibri"/>
          <w:sz w:val="22"/>
          <w:szCs w:val="22"/>
        </w:rPr>
        <w:t xml:space="preserve"> en </w:t>
      </w:r>
      <w:r w:rsidR="000F5B29" w:rsidRPr="00444F2B">
        <w:rPr>
          <w:rFonts w:asciiTheme="minorHAnsi" w:eastAsia="Calibri" w:hAnsiTheme="minorHAnsi" w:cs="Calibri"/>
          <w:sz w:val="22"/>
          <w:szCs w:val="22"/>
        </w:rPr>
        <w:t>tres palancas: talento, inversión en tecnología y aceleradores</w:t>
      </w:r>
      <w:r w:rsidR="005F24A6" w:rsidRPr="00444F2B">
        <w:rPr>
          <w:rFonts w:asciiTheme="minorHAnsi" w:eastAsia="Calibri" w:hAnsiTheme="minorHAnsi" w:cs="Calibri"/>
          <w:sz w:val="22"/>
          <w:szCs w:val="22"/>
        </w:rPr>
        <w:t>.</w:t>
      </w:r>
    </w:p>
    <w:p w14:paraId="69AC5F0E" w14:textId="24DAC3BA" w:rsidR="000F5B29" w:rsidRPr="00444F2B" w:rsidRDefault="00583C0F" w:rsidP="000F5B29">
      <w:pPr>
        <w:tabs>
          <w:tab w:val="num" w:pos="720"/>
        </w:tabs>
        <w:spacing w:after="200" w:line="276" w:lineRule="auto"/>
        <w:jc w:val="both"/>
        <w:rPr>
          <w:rFonts w:asciiTheme="minorHAnsi" w:eastAsia="Calibri" w:hAnsiTheme="minorHAnsi" w:cs="Calibri"/>
          <w:bCs/>
          <w:sz w:val="22"/>
          <w:szCs w:val="22"/>
        </w:rPr>
      </w:pPr>
      <w:r w:rsidRPr="00444F2B">
        <w:rPr>
          <w:rFonts w:asciiTheme="minorHAnsi" w:eastAsia="Calibri" w:hAnsiTheme="minorHAnsi" w:cs="Calibri"/>
          <w:sz w:val="22"/>
          <w:szCs w:val="22"/>
        </w:rPr>
        <w:t>En el primer caso</w:t>
      </w:r>
      <w:r w:rsidR="000F5B29" w:rsidRPr="00444F2B">
        <w:rPr>
          <w:rFonts w:asciiTheme="minorHAnsi" w:eastAsia="Calibri" w:hAnsiTheme="minorHAnsi" w:cs="Calibri"/>
          <w:sz w:val="22"/>
          <w:szCs w:val="22"/>
        </w:rPr>
        <w:t xml:space="preserve">, la propuesta </w:t>
      </w:r>
      <w:r w:rsidR="00AB44D7" w:rsidRPr="00444F2B">
        <w:rPr>
          <w:rFonts w:asciiTheme="minorHAnsi" w:eastAsia="Calibri" w:hAnsiTheme="minorHAnsi" w:cs="Calibri"/>
          <w:sz w:val="22"/>
          <w:szCs w:val="22"/>
        </w:rPr>
        <w:t xml:space="preserve">de este estudio </w:t>
      </w:r>
      <w:r w:rsidR="000F5B29" w:rsidRPr="00444F2B">
        <w:rPr>
          <w:rFonts w:asciiTheme="minorHAnsi" w:eastAsia="Calibri" w:hAnsiTheme="minorHAnsi" w:cs="Calibri"/>
          <w:sz w:val="22"/>
          <w:szCs w:val="22"/>
        </w:rPr>
        <w:t>pasa</w:t>
      </w:r>
      <w:r w:rsidRPr="00444F2B">
        <w:rPr>
          <w:rFonts w:asciiTheme="minorHAnsi" w:eastAsia="Calibri" w:hAnsiTheme="minorHAnsi" w:cs="Calibri"/>
          <w:sz w:val="22"/>
          <w:szCs w:val="22"/>
        </w:rPr>
        <w:t xml:space="preserve"> </w:t>
      </w:r>
      <w:r w:rsidR="000F5B29" w:rsidRPr="00444F2B">
        <w:rPr>
          <w:rFonts w:asciiTheme="minorHAnsi" w:eastAsia="Calibri" w:hAnsiTheme="minorHAnsi" w:cs="Calibri"/>
          <w:sz w:val="22"/>
          <w:szCs w:val="22"/>
        </w:rPr>
        <w:t>por g</w:t>
      </w:r>
      <w:r w:rsidR="000F5B29" w:rsidRPr="00444F2B">
        <w:rPr>
          <w:rFonts w:asciiTheme="minorHAnsi" w:eastAsia="Calibri" w:hAnsiTheme="minorHAnsi" w:cs="Calibri"/>
          <w:bCs/>
          <w:sz w:val="22"/>
          <w:szCs w:val="22"/>
        </w:rPr>
        <w:t xml:space="preserve">enerar talento digital </w:t>
      </w:r>
      <w:r w:rsidR="000F5B29" w:rsidRPr="00444F2B">
        <w:rPr>
          <w:rFonts w:asciiTheme="minorHAnsi" w:eastAsia="Calibri" w:hAnsiTheme="minorHAnsi" w:cs="Calibri"/>
          <w:sz w:val="22"/>
          <w:szCs w:val="22"/>
        </w:rPr>
        <w:t xml:space="preserve">en las universidades </w:t>
      </w:r>
      <w:r w:rsidR="000F5B29" w:rsidRPr="00444F2B">
        <w:rPr>
          <w:rFonts w:asciiTheme="minorHAnsi" w:eastAsia="Calibri" w:hAnsiTheme="minorHAnsi" w:cs="Calibri"/>
          <w:bCs/>
          <w:sz w:val="22"/>
          <w:szCs w:val="22"/>
        </w:rPr>
        <w:t xml:space="preserve">y capturarlo </w:t>
      </w:r>
      <w:r w:rsidR="000F5B29" w:rsidRPr="00444F2B">
        <w:rPr>
          <w:rFonts w:asciiTheme="minorHAnsi" w:eastAsia="Calibri" w:hAnsiTheme="minorHAnsi" w:cs="Calibri"/>
          <w:sz w:val="22"/>
          <w:szCs w:val="22"/>
        </w:rPr>
        <w:t>en las empresas</w:t>
      </w:r>
      <w:r w:rsidR="00AB44D7" w:rsidRPr="00444F2B">
        <w:rPr>
          <w:rFonts w:asciiTheme="minorHAnsi" w:eastAsia="Calibri" w:hAnsiTheme="minorHAnsi" w:cs="Calibri"/>
          <w:sz w:val="22"/>
          <w:szCs w:val="22"/>
        </w:rPr>
        <w:t xml:space="preserve"> –“deben ir más juntas”, dijo Zamora–</w:t>
      </w:r>
      <w:r w:rsidR="000F5B29" w:rsidRPr="00444F2B">
        <w:rPr>
          <w:rFonts w:asciiTheme="minorHAnsi" w:eastAsia="Calibri" w:hAnsiTheme="minorHAnsi" w:cs="Calibri"/>
          <w:sz w:val="22"/>
          <w:szCs w:val="22"/>
        </w:rPr>
        <w:t xml:space="preserve">, </w:t>
      </w:r>
      <w:r w:rsidR="000F5B29" w:rsidRPr="00444F2B">
        <w:rPr>
          <w:rFonts w:asciiTheme="minorHAnsi" w:eastAsia="Calibri" w:hAnsiTheme="minorHAnsi" w:cs="Calibri"/>
          <w:bCs/>
          <w:sz w:val="22"/>
          <w:szCs w:val="22"/>
        </w:rPr>
        <w:t xml:space="preserve">formar el talento ya existente </w:t>
      </w:r>
      <w:r w:rsidR="000F5B29" w:rsidRPr="00444F2B">
        <w:rPr>
          <w:rFonts w:asciiTheme="minorHAnsi" w:eastAsia="Calibri" w:hAnsiTheme="minorHAnsi" w:cs="Calibri"/>
          <w:sz w:val="22"/>
          <w:szCs w:val="22"/>
        </w:rPr>
        <w:t xml:space="preserve">en el ámbito digital y desarrollar </w:t>
      </w:r>
      <w:r w:rsidR="000F5B29" w:rsidRPr="00444F2B">
        <w:rPr>
          <w:rFonts w:asciiTheme="minorHAnsi" w:eastAsia="Calibri" w:hAnsiTheme="minorHAnsi" w:cs="Calibri"/>
          <w:bCs/>
          <w:sz w:val="22"/>
          <w:szCs w:val="22"/>
        </w:rPr>
        <w:t>nuevas</w:t>
      </w:r>
      <w:r w:rsidR="000F5B29" w:rsidRPr="00444F2B">
        <w:rPr>
          <w:rFonts w:asciiTheme="minorHAnsi" w:eastAsia="Calibri" w:hAnsiTheme="minorHAnsi" w:cs="Calibri"/>
          <w:sz w:val="22"/>
          <w:szCs w:val="22"/>
        </w:rPr>
        <w:t xml:space="preserve"> </w:t>
      </w:r>
      <w:r w:rsidR="000F5B29" w:rsidRPr="00444F2B">
        <w:rPr>
          <w:rFonts w:asciiTheme="minorHAnsi" w:eastAsia="Calibri" w:hAnsiTheme="minorHAnsi" w:cs="Calibri"/>
          <w:bCs/>
          <w:sz w:val="22"/>
          <w:szCs w:val="22"/>
        </w:rPr>
        <w:t>formas de trabajo</w:t>
      </w:r>
      <w:r w:rsidR="00AB44D7" w:rsidRPr="00444F2B">
        <w:rPr>
          <w:rFonts w:asciiTheme="minorHAnsi" w:eastAsia="Calibri" w:hAnsiTheme="minorHAnsi" w:cs="Calibri"/>
          <w:bCs/>
          <w:sz w:val="22"/>
          <w:szCs w:val="22"/>
        </w:rPr>
        <w:t xml:space="preserve"> </w:t>
      </w:r>
      <w:r w:rsidR="00FD18E7" w:rsidRPr="00444F2B">
        <w:rPr>
          <w:rFonts w:asciiTheme="minorHAnsi" w:eastAsia="Calibri" w:hAnsiTheme="minorHAnsi" w:cs="Calibri"/>
          <w:bCs/>
          <w:sz w:val="22"/>
          <w:szCs w:val="22"/>
        </w:rPr>
        <w:t>“</w:t>
      </w:r>
      <w:r w:rsidR="00AB44D7" w:rsidRPr="00444F2B">
        <w:rPr>
          <w:rFonts w:asciiTheme="minorHAnsi" w:eastAsia="Calibri" w:hAnsiTheme="minorHAnsi" w:cs="Calibri"/>
          <w:bCs/>
          <w:sz w:val="22"/>
          <w:szCs w:val="22"/>
        </w:rPr>
        <w:t>más horizontales y más basadas en proyectos</w:t>
      </w:r>
      <w:r w:rsidR="00FD18E7" w:rsidRPr="00444F2B">
        <w:rPr>
          <w:rFonts w:asciiTheme="minorHAnsi" w:eastAsia="Calibri" w:hAnsiTheme="minorHAnsi" w:cs="Calibri"/>
          <w:bCs/>
          <w:sz w:val="22"/>
          <w:szCs w:val="22"/>
        </w:rPr>
        <w:t>”</w:t>
      </w:r>
      <w:r w:rsidR="000F5B29" w:rsidRPr="00444F2B">
        <w:rPr>
          <w:rFonts w:asciiTheme="minorHAnsi" w:eastAsia="Calibri" w:hAnsiTheme="minorHAnsi" w:cs="Calibri"/>
          <w:bCs/>
          <w:sz w:val="22"/>
          <w:szCs w:val="22"/>
        </w:rPr>
        <w:t>, así como aumentar los equipos dedicados a la innovación.</w:t>
      </w:r>
    </w:p>
    <w:p w14:paraId="14C7909A" w14:textId="719CD561" w:rsidR="000F5B29" w:rsidRPr="00AB03FD" w:rsidRDefault="000F5B29" w:rsidP="000F5B29">
      <w:pPr>
        <w:spacing w:after="200" w:line="276" w:lineRule="auto"/>
        <w:jc w:val="both"/>
        <w:rPr>
          <w:rFonts w:asciiTheme="minorHAnsi" w:eastAsia="Calibri" w:hAnsiTheme="minorHAnsi" w:cs="Calibri"/>
          <w:bCs/>
          <w:sz w:val="22"/>
          <w:szCs w:val="22"/>
        </w:rPr>
      </w:pPr>
      <w:r w:rsidRPr="00444F2B">
        <w:rPr>
          <w:rFonts w:asciiTheme="minorHAnsi" w:eastAsia="Calibri" w:hAnsiTheme="minorHAnsi" w:cs="Calibri"/>
          <w:bCs/>
          <w:sz w:val="22"/>
          <w:szCs w:val="22"/>
        </w:rPr>
        <w:t xml:space="preserve">En el ámbito de las tecnologías y la inversión, </w:t>
      </w:r>
      <w:r w:rsidR="00AB44D7" w:rsidRPr="00444F2B">
        <w:rPr>
          <w:rFonts w:asciiTheme="minorHAnsi" w:eastAsia="Calibri" w:hAnsiTheme="minorHAnsi" w:cs="Calibri"/>
          <w:bCs/>
          <w:sz w:val="22"/>
          <w:szCs w:val="22"/>
        </w:rPr>
        <w:t xml:space="preserve">el aspecto en el que España está </w:t>
      </w:r>
      <w:r w:rsidR="00FD18E7" w:rsidRPr="00444F2B">
        <w:rPr>
          <w:rFonts w:asciiTheme="minorHAnsi" w:eastAsia="Calibri" w:hAnsiTheme="minorHAnsi" w:cs="Calibri"/>
          <w:bCs/>
          <w:sz w:val="22"/>
          <w:szCs w:val="22"/>
        </w:rPr>
        <w:t>“</w:t>
      </w:r>
      <w:r w:rsidR="00AB44D7" w:rsidRPr="00444F2B">
        <w:rPr>
          <w:rFonts w:asciiTheme="minorHAnsi" w:eastAsia="Calibri" w:hAnsiTheme="minorHAnsi" w:cs="Calibri"/>
          <w:bCs/>
          <w:sz w:val="22"/>
          <w:szCs w:val="22"/>
        </w:rPr>
        <w:t>más retrasado en relación a Estados Unidos y los países líderes</w:t>
      </w:r>
      <w:r w:rsidR="00FD18E7" w:rsidRPr="00444F2B">
        <w:rPr>
          <w:rFonts w:asciiTheme="minorHAnsi" w:eastAsia="Calibri" w:hAnsiTheme="minorHAnsi" w:cs="Calibri"/>
          <w:bCs/>
          <w:sz w:val="22"/>
          <w:szCs w:val="22"/>
        </w:rPr>
        <w:t>”</w:t>
      </w:r>
      <w:r w:rsidR="00AB44D7" w:rsidRPr="00444F2B">
        <w:rPr>
          <w:rFonts w:asciiTheme="minorHAnsi" w:eastAsia="Calibri" w:hAnsiTheme="minorHAnsi" w:cs="Calibri"/>
          <w:bCs/>
          <w:sz w:val="22"/>
          <w:szCs w:val="22"/>
        </w:rPr>
        <w:t xml:space="preserve">, según admitió </w:t>
      </w:r>
      <w:r w:rsidR="00583C0F" w:rsidRPr="00444F2B">
        <w:rPr>
          <w:rFonts w:asciiTheme="minorHAnsi" w:eastAsia="Calibri" w:hAnsiTheme="minorHAnsi" w:cs="Calibri"/>
          <w:bCs/>
          <w:sz w:val="22"/>
          <w:szCs w:val="22"/>
        </w:rPr>
        <w:t>el directivo de Accenture</w:t>
      </w:r>
      <w:r w:rsidR="00AB03FD">
        <w:rPr>
          <w:rFonts w:asciiTheme="minorHAnsi" w:eastAsia="Calibri" w:hAnsiTheme="minorHAnsi" w:cs="Calibri"/>
          <w:bCs/>
          <w:sz w:val="22"/>
          <w:szCs w:val="22"/>
        </w:rPr>
        <w:t xml:space="preserve"> Strategy</w:t>
      </w:r>
      <w:r w:rsidR="00AB44D7" w:rsidRPr="00444F2B">
        <w:rPr>
          <w:rFonts w:asciiTheme="minorHAnsi" w:eastAsia="Calibri" w:hAnsiTheme="minorHAnsi" w:cs="Calibri"/>
          <w:bCs/>
          <w:sz w:val="22"/>
          <w:szCs w:val="22"/>
        </w:rPr>
        <w:t xml:space="preserve">, </w:t>
      </w:r>
      <w:r w:rsidRPr="00444F2B">
        <w:rPr>
          <w:rFonts w:asciiTheme="minorHAnsi" w:eastAsia="Calibri" w:hAnsiTheme="minorHAnsi" w:cs="Calibri"/>
          <w:bCs/>
          <w:sz w:val="22"/>
          <w:szCs w:val="22"/>
        </w:rPr>
        <w:t>las líneas de acción se centrarían en digitalizar la relación con el cliente</w:t>
      </w:r>
      <w:r w:rsidRPr="00444F2B">
        <w:rPr>
          <w:rFonts w:asciiTheme="minorHAnsi" w:eastAsia="Calibri" w:hAnsiTheme="minorHAnsi" w:cs="Calibri"/>
          <w:sz w:val="22"/>
          <w:szCs w:val="22"/>
        </w:rPr>
        <w:t xml:space="preserve">, </w:t>
      </w:r>
      <w:r w:rsidRPr="00444F2B">
        <w:rPr>
          <w:rFonts w:asciiTheme="minorHAnsi" w:eastAsia="Calibri" w:hAnsiTheme="minorHAnsi" w:cs="Calibri"/>
          <w:bCs/>
          <w:sz w:val="22"/>
          <w:szCs w:val="22"/>
        </w:rPr>
        <w:t xml:space="preserve">impulsar la colaboración </w:t>
      </w:r>
      <w:r w:rsidRPr="00444F2B">
        <w:rPr>
          <w:rFonts w:asciiTheme="minorHAnsi" w:eastAsia="Calibri" w:hAnsiTheme="minorHAnsi" w:cs="Calibri"/>
          <w:sz w:val="22"/>
          <w:szCs w:val="22"/>
        </w:rPr>
        <w:t>en la empresa con herramientas digitales e incrementar</w:t>
      </w:r>
      <w:r w:rsidRPr="00444F2B">
        <w:rPr>
          <w:rFonts w:asciiTheme="minorHAnsi" w:eastAsia="Calibri" w:hAnsiTheme="minorHAnsi" w:cs="Calibri"/>
          <w:bCs/>
          <w:sz w:val="22"/>
          <w:szCs w:val="22"/>
        </w:rPr>
        <w:t xml:space="preserve"> la inversión en tecnologías clave como </w:t>
      </w:r>
      <w:r w:rsidRPr="00444F2B">
        <w:rPr>
          <w:rFonts w:asciiTheme="minorHAnsi" w:eastAsia="Calibri" w:hAnsiTheme="minorHAnsi" w:cs="Calibri"/>
          <w:i/>
          <w:sz w:val="22"/>
          <w:szCs w:val="22"/>
        </w:rPr>
        <w:t>cloud</w:t>
      </w:r>
      <w:r w:rsidRPr="00444F2B">
        <w:rPr>
          <w:rFonts w:asciiTheme="minorHAnsi" w:eastAsia="Calibri" w:hAnsiTheme="minorHAnsi" w:cs="Calibri"/>
          <w:sz w:val="22"/>
          <w:szCs w:val="22"/>
        </w:rPr>
        <w:t>, analítica avanzada, inteligencia artificial, IoT, movilidad o social media.</w:t>
      </w:r>
      <w:r w:rsidR="00AB44D7" w:rsidRPr="00444F2B">
        <w:rPr>
          <w:rFonts w:asciiTheme="minorHAnsi" w:eastAsia="Calibri" w:hAnsiTheme="minorHAnsi" w:cs="Calibri"/>
          <w:sz w:val="22"/>
          <w:szCs w:val="22"/>
        </w:rPr>
        <w:t xml:space="preserve"> </w:t>
      </w:r>
    </w:p>
    <w:p w14:paraId="470328BB" w14:textId="405AD3F1" w:rsidR="000F5B29" w:rsidRPr="00444F2B" w:rsidRDefault="000F5B29"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 xml:space="preserve">Por último, </w:t>
      </w:r>
      <w:r w:rsidR="00FD18E7" w:rsidRPr="00444F2B">
        <w:rPr>
          <w:rFonts w:asciiTheme="minorHAnsi" w:eastAsia="Calibri" w:hAnsiTheme="minorHAnsi" w:cs="Calibri"/>
          <w:sz w:val="22"/>
          <w:szCs w:val="22"/>
        </w:rPr>
        <w:t>el informe reclama</w:t>
      </w:r>
      <w:r w:rsidR="00AB44D7" w:rsidRPr="00444F2B">
        <w:rPr>
          <w:rFonts w:asciiTheme="minorHAnsi" w:eastAsia="Calibri" w:hAnsiTheme="minorHAnsi" w:cs="Calibri"/>
          <w:sz w:val="22"/>
          <w:szCs w:val="22"/>
        </w:rPr>
        <w:t xml:space="preserve"> facilitadores o</w:t>
      </w:r>
      <w:r w:rsidRPr="00444F2B">
        <w:rPr>
          <w:rFonts w:asciiTheme="minorHAnsi" w:eastAsia="Calibri" w:hAnsiTheme="minorHAnsi" w:cs="Calibri"/>
          <w:sz w:val="22"/>
          <w:szCs w:val="22"/>
        </w:rPr>
        <w:t xml:space="preserve"> aceleradores </w:t>
      </w:r>
      <w:r w:rsidR="00583C0F" w:rsidRPr="00444F2B">
        <w:rPr>
          <w:rFonts w:asciiTheme="minorHAnsi" w:eastAsia="Calibri" w:hAnsiTheme="minorHAnsi" w:cs="Calibri"/>
          <w:sz w:val="22"/>
          <w:szCs w:val="22"/>
        </w:rPr>
        <w:t>que impu</w:t>
      </w:r>
      <w:r w:rsidR="00AB44D7" w:rsidRPr="00444F2B">
        <w:rPr>
          <w:rFonts w:asciiTheme="minorHAnsi" w:eastAsia="Calibri" w:hAnsiTheme="minorHAnsi" w:cs="Calibri"/>
          <w:sz w:val="22"/>
          <w:szCs w:val="22"/>
        </w:rPr>
        <w:t>lsen la digitalización</w:t>
      </w:r>
      <w:r w:rsidR="00CB072A" w:rsidRPr="00444F2B">
        <w:rPr>
          <w:rFonts w:asciiTheme="minorHAnsi" w:eastAsia="Calibri" w:hAnsiTheme="minorHAnsi" w:cs="Calibri"/>
          <w:sz w:val="22"/>
          <w:szCs w:val="22"/>
        </w:rPr>
        <w:t>, entre los que</w:t>
      </w:r>
      <w:r w:rsidR="00583C0F" w:rsidRPr="00444F2B">
        <w:rPr>
          <w:rFonts w:asciiTheme="minorHAnsi" w:eastAsia="Calibri" w:hAnsiTheme="minorHAnsi" w:cs="Calibri"/>
          <w:sz w:val="22"/>
          <w:szCs w:val="22"/>
        </w:rPr>
        <w:t xml:space="preserve"> </w:t>
      </w:r>
      <w:r w:rsidR="00CB072A" w:rsidRPr="00444F2B">
        <w:rPr>
          <w:rFonts w:asciiTheme="minorHAnsi" w:eastAsia="Calibri" w:hAnsiTheme="minorHAnsi" w:cs="Calibri"/>
          <w:sz w:val="22"/>
          <w:szCs w:val="22"/>
        </w:rPr>
        <w:t>Zamora citó el despliegue de</w:t>
      </w:r>
      <w:r w:rsidRPr="00444F2B">
        <w:rPr>
          <w:rFonts w:asciiTheme="minorHAnsi" w:eastAsia="Calibri" w:hAnsiTheme="minorHAnsi" w:cs="Calibri"/>
          <w:bCs/>
          <w:sz w:val="22"/>
          <w:szCs w:val="22"/>
        </w:rPr>
        <w:t xml:space="preserve"> una infraestructura de comunicaciones </w:t>
      </w:r>
      <w:r w:rsidRPr="00444F2B">
        <w:rPr>
          <w:rFonts w:asciiTheme="minorHAnsi" w:eastAsia="Calibri" w:hAnsiTheme="minorHAnsi" w:cs="Calibri"/>
          <w:sz w:val="22"/>
          <w:szCs w:val="22"/>
        </w:rPr>
        <w:t xml:space="preserve">a la altura de los líderes digitales, </w:t>
      </w:r>
      <w:r w:rsidR="00CB072A" w:rsidRPr="00444F2B">
        <w:rPr>
          <w:rFonts w:asciiTheme="minorHAnsi" w:eastAsia="Calibri" w:hAnsiTheme="minorHAnsi" w:cs="Calibri"/>
          <w:sz w:val="22"/>
          <w:szCs w:val="22"/>
        </w:rPr>
        <w:t xml:space="preserve">la </w:t>
      </w:r>
      <w:r w:rsidRPr="00444F2B">
        <w:rPr>
          <w:rFonts w:asciiTheme="minorHAnsi" w:eastAsia="Calibri" w:hAnsiTheme="minorHAnsi" w:cs="Calibri"/>
          <w:bCs/>
          <w:sz w:val="22"/>
          <w:szCs w:val="22"/>
        </w:rPr>
        <w:t>a</w:t>
      </w:r>
      <w:r w:rsidR="00CB072A" w:rsidRPr="00444F2B">
        <w:rPr>
          <w:rFonts w:asciiTheme="minorHAnsi" w:eastAsia="Calibri" w:hAnsiTheme="minorHAnsi" w:cs="Calibri"/>
          <w:bCs/>
          <w:sz w:val="22"/>
          <w:szCs w:val="22"/>
        </w:rPr>
        <w:t>daptación de</w:t>
      </w:r>
      <w:r w:rsidRPr="00444F2B">
        <w:rPr>
          <w:rFonts w:asciiTheme="minorHAnsi" w:eastAsia="Calibri" w:hAnsiTheme="minorHAnsi" w:cs="Calibri"/>
          <w:bCs/>
          <w:sz w:val="22"/>
          <w:szCs w:val="22"/>
        </w:rPr>
        <w:t xml:space="preserve"> la regulación </w:t>
      </w:r>
      <w:r w:rsidRPr="00444F2B">
        <w:rPr>
          <w:rFonts w:asciiTheme="minorHAnsi" w:eastAsia="Calibri" w:hAnsiTheme="minorHAnsi" w:cs="Calibri"/>
          <w:sz w:val="22"/>
          <w:szCs w:val="22"/>
        </w:rPr>
        <w:t>a las nuevas tecnologías, nuevos modelos de negocio y modelos basados en la economía colaborativa</w:t>
      </w:r>
      <w:r w:rsidR="00CB072A" w:rsidRPr="00444F2B">
        <w:rPr>
          <w:rFonts w:asciiTheme="minorHAnsi" w:eastAsia="Calibri" w:hAnsiTheme="minorHAnsi" w:cs="Calibri"/>
          <w:sz w:val="22"/>
          <w:szCs w:val="22"/>
        </w:rPr>
        <w:t>, así como</w:t>
      </w:r>
      <w:r w:rsidRPr="00444F2B">
        <w:rPr>
          <w:rFonts w:asciiTheme="minorHAnsi" w:eastAsia="Calibri" w:hAnsiTheme="minorHAnsi" w:cs="Calibri"/>
          <w:sz w:val="22"/>
          <w:szCs w:val="22"/>
        </w:rPr>
        <w:t xml:space="preserve"> </w:t>
      </w:r>
      <w:r w:rsidR="00CB072A" w:rsidRPr="00444F2B">
        <w:rPr>
          <w:rFonts w:asciiTheme="minorHAnsi" w:eastAsia="Calibri" w:hAnsiTheme="minorHAnsi" w:cs="Calibri"/>
          <w:sz w:val="22"/>
          <w:szCs w:val="22"/>
        </w:rPr>
        <w:t xml:space="preserve">la </w:t>
      </w:r>
      <w:r w:rsidRPr="00444F2B">
        <w:rPr>
          <w:rFonts w:asciiTheme="minorHAnsi" w:eastAsia="Calibri" w:hAnsiTheme="minorHAnsi" w:cs="Calibri"/>
          <w:sz w:val="22"/>
          <w:szCs w:val="22"/>
        </w:rPr>
        <w:t>p</w:t>
      </w:r>
      <w:r w:rsidR="00CB072A" w:rsidRPr="00444F2B">
        <w:rPr>
          <w:rFonts w:asciiTheme="minorHAnsi" w:eastAsia="Calibri" w:hAnsiTheme="minorHAnsi" w:cs="Calibri"/>
          <w:sz w:val="22"/>
          <w:szCs w:val="22"/>
        </w:rPr>
        <w:t>otenciación</w:t>
      </w:r>
      <w:r w:rsidRPr="00444F2B">
        <w:rPr>
          <w:rFonts w:asciiTheme="minorHAnsi" w:eastAsia="Calibri" w:hAnsiTheme="minorHAnsi" w:cs="Calibri"/>
          <w:sz w:val="22"/>
          <w:szCs w:val="22"/>
        </w:rPr>
        <w:t xml:space="preserve"> del uso de </w:t>
      </w:r>
      <w:r w:rsidRPr="00444F2B">
        <w:rPr>
          <w:rFonts w:asciiTheme="minorHAnsi" w:eastAsia="Calibri" w:hAnsiTheme="minorHAnsi" w:cs="Calibri"/>
          <w:bCs/>
          <w:sz w:val="22"/>
          <w:szCs w:val="22"/>
        </w:rPr>
        <w:t>plataformas digitales</w:t>
      </w:r>
      <w:r w:rsidRPr="00444F2B">
        <w:rPr>
          <w:rFonts w:asciiTheme="minorHAnsi" w:eastAsia="Calibri" w:hAnsiTheme="minorHAnsi" w:cs="Calibri"/>
          <w:sz w:val="22"/>
          <w:szCs w:val="22"/>
        </w:rPr>
        <w:t xml:space="preserve"> y </w:t>
      </w:r>
      <w:r w:rsidR="00CB072A" w:rsidRPr="00444F2B">
        <w:rPr>
          <w:rFonts w:asciiTheme="minorHAnsi" w:eastAsia="Calibri" w:hAnsiTheme="minorHAnsi" w:cs="Calibri"/>
          <w:sz w:val="22"/>
          <w:szCs w:val="22"/>
        </w:rPr>
        <w:t>el fomento</w:t>
      </w:r>
      <w:r w:rsidRPr="00444F2B">
        <w:rPr>
          <w:rFonts w:asciiTheme="minorHAnsi" w:eastAsia="Calibri" w:hAnsiTheme="minorHAnsi" w:cs="Calibri"/>
          <w:sz w:val="22"/>
          <w:szCs w:val="22"/>
        </w:rPr>
        <w:t xml:space="preserve"> de nuevos negocios.</w:t>
      </w:r>
    </w:p>
    <w:p w14:paraId="29185E12" w14:textId="40840C92" w:rsidR="00B55E8E" w:rsidRPr="00444F2B" w:rsidRDefault="00AB44D7"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“No hay una solución única. Pero es labor de todos priorizar y encontrar cuáles son las fundamentales”, concluyó el directivo de Accenture Strategy.</w:t>
      </w:r>
    </w:p>
    <w:p w14:paraId="231A98F4" w14:textId="304D1FB6" w:rsidR="00CB072A" w:rsidRPr="00444F2B" w:rsidRDefault="00CB072A"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 xml:space="preserve">Antes de que este informe viera la luz, el </w:t>
      </w:r>
      <w:r w:rsidRPr="00444F2B">
        <w:rPr>
          <w:rFonts w:asciiTheme="minorHAnsi" w:eastAsia="Calibri" w:hAnsiTheme="minorHAnsi" w:cs="Calibri"/>
          <w:b/>
          <w:sz w:val="22"/>
          <w:szCs w:val="22"/>
        </w:rPr>
        <w:t>director de Estrategia de Mobile World Capital Barcelona, Jordi Arrufí</w:t>
      </w:r>
      <w:r w:rsidRPr="00444F2B">
        <w:rPr>
          <w:rFonts w:asciiTheme="minorHAnsi" w:eastAsia="Calibri" w:hAnsiTheme="minorHAnsi" w:cs="Calibri"/>
          <w:sz w:val="22"/>
          <w:szCs w:val="22"/>
        </w:rPr>
        <w:t xml:space="preserve">, </w:t>
      </w:r>
      <w:r w:rsidR="007939D7" w:rsidRPr="00444F2B">
        <w:rPr>
          <w:rFonts w:asciiTheme="minorHAnsi" w:eastAsia="Calibri" w:hAnsiTheme="minorHAnsi" w:cs="Calibri"/>
          <w:sz w:val="22"/>
          <w:szCs w:val="22"/>
        </w:rPr>
        <w:t>apostó por “generar conciencia sobre todo lo que quiere decir y representa la transformación digital” porque, según recalcó, “todo el mundo habla de</w:t>
      </w:r>
      <w:r w:rsidR="00FD18E7" w:rsidRPr="00444F2B">
        <w:rPr>
          <w:rFonts w:asciiTheme="minorHAnsi" w:eastAsia="Calibri" w:hAnsiTheme="minorHAnsi" w:cs="Calibri"/>
          <w:sz w:val="22"/>
          <w:szCs w:val="22"/>
        </w:rPr>
        <w:t xml:space="preserve"> </w:t>
      </w:r>
      <w:r w:rsidR="00AB03FD" w:rsidRPr="00444F2B">
        <w:rPr>
          <w:rFonts w:asciiTheme="minorHAnsi" w:eastAsia="Calibri" w:hAnsiTheme="minorHAnsi" w:cs="Calibri"/>
          <w:sz w:val="22"/>
          <w:szCs w:val="22"/>
        </w:rPr>
        <w:t>digitalización,</w:t>
      </w:r>
      <w:bookmarkStart w:id="0" w:name="_GoBack"/>
      <w:bookmarkEnd w:id="0"/>
      <w:r w:rsidR="007939D7" w:rsidRPr="00444F2B">
        <w:rPr>
          <w:rFonts w:asciiTheme="minorHAnsi" w:eastAsia="Calibri" w:hAnsiTheme="minorHAnsi" w:cs="Calibri"/>
          <w:sz w:val="22"/>
          <w:szCs w:val="22"/>
        </w:rPr>
        <w:t xml:space="preserve"> pero no todos saben cómo hacerlo”.</w:t>
      </w:r>
    </w:p>
    <w:p w14:paraId="559CACEF" w14:textId="0202F5FE" w:rsidR="007939D7" w:rsidRPr="00444F2B" w:rsidRDefault="007939D7"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Además, Arrufí destacó el papel que en este propósito deben desempeñar la Administración no solo para generar servicios públicos digitales, sino también como “catalizadores” de esta nueva cultura, e identificó a la automoción –inmersa en el “mayor avance tecnológico en sus 130 años de historia” indicó– y a la banca, con “nuevos servicios digitales que sitúan al cliente en el centro del negocio”, como los dos sectores que “</w:t>
      </w:r>
      <w:r w:rsidR="00FD18E7" w:rsidRPr="00444F2B">
        <w:rPr>
          <w:rFonts w:asciiTheme="minorHAnsi" w:eastAsia="Calibri" w:hAnsiTheme="minorHAnsi" w:cs="Calibri"/>
          <w:sz w:val="22"/>
          <w:szCs w:val="22"/>
        </w:rPr>
        <w:t xml:space="preserve">lo </w:t>
      </w:r>
      <w:r w:rsidRPr="00444F2B">
        <w:rPr>
          <w:rFonts w:asciiTheme="minorHAnsi" w:eastAsia="Calibri" w:hAnsiTheme="minorHAnsi" w:cs="Calibri"/>
          <w:sz w:val="22"/>
          <w:szCs w:val="22"/>
        </w:rPr>
        <w:t>están haciendo bien</w:t>
      </w:r>
      <w:r w:rsidR="00FD18E7" w:rsidRPr="00444F2B">
        <w:rPr>
          <w:rFonts w:asciiTheme="minorHAnsi" w:eastAsia="Calibri" w:hAnsiTheme="minorHAnsi" w:cs="Calibri"/>
          <w:sz w:val="22"/>
          <w:szCs w:val="22"/>
        </w:rPr>
        <w:t>”.</w:t>
      </w:r>
      <w:r w:rsidRPr="00444F2B">
        <w:rPr>
          <w:rFonts w:asciiTheme="minorHAnsi" w:eastAsia="Calibri" w:hAnsiTheme="minorHAnsi" w:cs="Calibri"/>
          <w:sz w:val="22"/>
          <w:szCs w:val="22"/>
        </w:rPr>
        <w:t xml:space="preserve"> </w:t>
      </w:r>
    </w:p>
    <w:p w14:paraId="0C1D3353" w14:textId="158E7E4C" w:rsidR="000F5B29" w:rsidRPr="00444F2B" w:rsidRDefault="00B55E8E" w:rsidP="000F5B29">
      <w:pPr>
        <w:spacing w:after="200" w:line="276" w:lineRule="auto"/>
        <w:jc w:val="both"/>
        <w:rPr>
          <w:rFonts w:asciiTheme="minorHAnsi" w:eastAsia="Calibri" w:hAnsiTheme="minorHAnsi" w:cs="Calibri"/>
          <w:sz w:val="22"/>
          <w:szCs w:val="22"/>
        </w:rPr>
      </w:pPr>
      <w:r w:rsidRPr="00444F2B">
        <w:rPr>
          <w:rFonts w:asciiTheme="minorHAnsi" w:eastAsia="Calibri" w:hAnsiTheme="minorHAnsi" w:cs="Calibri"/>
          <w:sz w:val="22"/>
          <w:szCs w:val="22"/>
        </w:rPr>
        <w:t>Finalmente,</w:t>
      </w:r>
      <w:r w:rsidR="008A48C4" w:rsidRPr="00444F2B">
        <w:rPr>
          <w:rFonts w:asciiTheme="minorHAnsi" w:eastAsia="Calibri" w:hAnsiTheme="minorHAnsi" w:cs="Calibri"/>
          <w:sz w:val="22"/>
          <w:szCs w:val="22"/>
        </w:rPr>
        <w:t xml:space="preserve"> el </w:t>
      </w:r>
      <w:r w:rsidR="008A48C4" w:rsidRPr="00444F2B">
        <w:rPr>
          <w:rFonts w:asciiTheme="minorHAnsi" w:eastAsia="Calibri" w:hAnsiTheme="minorHAnsi" w:cs="Calibri"/>
          <w:b/>
          <w:sz w:val="22"/>
          <w:szCs w:val="22"/>
        </w:rPr>
        <w:t>director de Innovación de Celsa Group, Ignasi Salvador</w:t>
      </w:r>
      <w:r w:rsidR="008A48C4" w:rsidRPr="00444F2B">
        <w:rPr>
          <w:rFonts w:asciiTheme="minorHAnsi" w:eastAsia="Calibri" w:hAnsiTheme="minorHAnsi" w:cs="Calibri"/>
          <w:sz w:val="22"/>
          <w:szCs w:val="22"/>
        </w:rPr>
        <w:t>, explicó el programa que en este campo ha implementado esta compañía perteneciente al sector del acero con presencia en diferentes países, una plantilla de 9.000 trabajadores y una facturación de alrededor de 3.600 millones de euros anuales.</w:t>
      </w:r>
      <w:r w:rsidR="00444F2B" w:rsidRPr="00444F2B">
        <w:rPr>
          <w:rFonts w:asciiTheme="minorHAnsi" w:eastAsia="Calibri" w:hAnsiTheme="minorHAnsi" w:cs="Calibri"/>
          <w:sz w:val="22"/>
          <w:szCs w:val="22"/>
        </w:rPr>
        <w:t xml:space="preserve"> </w:t>
      </w:r>
    </w:p>
    <w:p w14:paraId="5746BF3B" w14:textId="77777777" w:rsidR="00BF5163" w:rsidRPr="00444F2B" w:rsidRDefault="00BF5163">
      <w:pPr>
        <w:rPr>
          <w:rFonts w:asciiTheme="minorHAnsi" w:hAnsiTheme="minorHAnsi"/>
          <w:sz w:val="22"/>
          <w:szCs w:val="22"/>
        </w:rPr>
      </w:pPr>
    </w:p>
    <w:sectPr w:rsidR="00BF5163" w:rsidRPr="00444F2B" w:rsidSect="00444F2B">
      <w:headerReference w:type="default" r:id="rId9"/>
      <w:pgSz w:w="11900" w:h="16840"/>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9A3E" w14:textId="77777777" w:rsidR="00412C89" w:rsidRDefault="00412C89">
      <w:r>
        <w:separator/>
      </w:r>
    </w:p>
  </w:endnote>
  <w:endnote w:type="continuationSeparator" w:id="0">
    <w:p w14:paraId="3A549A0B" w14:textId="77777777" w:rsidR="00412C89" w:rsidRDefault="0041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B41B" w14:textId="77777777" w:rsidR="00412C89" w:rsidRDefault="00412C89">
      <w:r>
        <w:separator/>
      </w:r>
    </w:p>
  </w:footnote>
  <w:footnote w:type="continuationSeparator" w:id="0">
    <w:p w14:paraId="56F04DCB" w14:textId="77777777" w:rsidR="00412C89" w:rsidRDefault="0041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7B3A" w14:textId="77777777" w:rsidR="00022A9E" w:rsidRDefault="00412C89" w:rsidP="00141CE3">
    <w:pPr>
      <w:pBdr>
        <w:bottom w:val="single" w:sz="4" w:space="1" w:color="auto"/>
      </w:pBdr>
      <w:jc w:val="both"/>
      <w:rPr>
        <w:rFonts w:asciiTheme="minorHAnsi" w:hAnsiTheme="minorHAnsi"/>
        <w:color w:val="000000" w:themeColor="text1"/>
        <w:sz w:val="20"/>
        <w:szCs w:val="20"/>
      </w:rPr>
    </w:pPr>
  </w:p>
  <w:p w14:paraId="7DE74153" w14:textId="77777777" w:rsidR="00022A9E" w:rsidRPr="00141CE3" w:rsidRDefault="00FD18E7" w:rsidP="00141CE3">
    <w:pPr>
      <w:pBdr>
        <w:bottom w:val="single" w:sz="4" w:space="1" w:color="auto"/>
      </w:pBdr>
      <w:jc w:val="both"/>
      <w:rPr>
        <w:rFonts w:asciiTheme="minorHAnsi" w:hAnsiTheme="minorHAnsi"/>
        <w:color w:val="000000" w:themeColor="text1"/>
        <w:sz w:val="20"/>
        <w:szCs w:val="20"/>
      </w:rPr>
    </w:pPr>
    <w:r>
      <w:rPr>
        <w:rFonts w:asciiTheme="minorHAnsi" w:hAnsiTheme="minorHAnsi"/>
        <w:color w:val="000000" w:themeColor="text1"/>
        <w:sz w:val="20"/>
        <w:szCs w:val="20"/>
      </w:rPr>
      <w:t>Miércoles, 6</w:t>
    </w:r>
    <w:r w:rsidRPr="00B42021">
      <w:rPr>
        <w:rFonts w:asciiTheme="minorHAnsi" w:hAnsiTheme="minorHAnsi"/>
        <w:color w:val="000000" w:themeColor="text1"/>
        <w:sz w:val="20"/>
        <w:szCs w:val="20"/>
      </w:rPr>
      <w:t xml:space="preserve"> de septiembre de 2017 </w:t>
    </w:r>
    <w:r>
      <w:rPr>
        <w:rFonts w:asciiTheme="minorHAnsi" w:hAnsiTheme="minorHAnsi"/>
        <w:color w:val="000000" w:themeColor="text1"/>
        <w:sz w:val="20"/>
        <w:szCs w:val="20"/>
      </w:rPr>
      <w:t>MAÑANA</w:t>
    </w:r>
    <w:r w:rsidRPr="00B42021">
      <w:rPr>
        <w:rFonts w:asciiTheme="minorHAnsi" w:hAnsiTheme="minorHAnsi"/>
        <w:color w:val="000000" w:themeColor="text1"/>
        <w:sz w:val="20"/>
        <w:szCs w:val="20"/>
      </w:rPr>
      <w:t xml:space="preserve"> #Santander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91C"/>
    <w:multiLevelType w:val="hybridMultilevel"/>
    <w:tmpl w:val="64C2CADE"/>
    <w:lvl w:ilvl="0" w:tplc="25965774">
      <w:start w:val="1"/>
      <w:numFmt w:val="bullet"/>
      <w:lvlText w:val="-"/>
      <w:lvlJc w:val="left"/>
      <w:pPr>
        <w:tabs>
          <w:tab w:val="num" w:pos="720"/>
        </w:tabs>
        <w:ind w:left="720" w:hanging="360"/>
      </w:pPr>
      <w:rPr>
        <w:rFonts w:ascii="Times New Roman" w:hAnsi="Times New Roman" w:hint="default"/>
      </w:rPr>
    </w:lvl>
    <w:lvl w:ilvl="1" w:tplc="724A11BA">
      <w:numFmt w:val="bullet"/>
      <w:lvlText w:val="-"/>
      <w:lvlJc w:val="left"/>
      <w:pPr>
        <w:tabs>
          <w:tab w:val="num" w:pos="1440"/>
        </w:tabs>
        <w:ind w:left="1440" w:hanging="360"/>
      </w:pPr>
      <w:rPr>
        <w:rFonts w:ascii="Times New Roman" w:hAnsi="Times New Roman" w:hint="default"/>
      </w:rPr>
    </w:lvl>
    <w:lvl w:ilvl="2" w:tplc="62748F3C" w:tentative="1">
      <w:start w:val="1"/>
      <w:numFmt w:val="bullet"/>
      <w:lvlText w:val="-"/>
      <w:lvlJc w:val="left"/>
      <w:pPr>
        <w:tabs>
          <w:tab w:val="num" w:pos="2160"/>
        </w:tabs>
        <w:ind w:left="2160" w:hanging="360"/>
      </w:pPr>
      <w:rPr>
        <w:rFonts w:ascii="Times New Roman" w:hAnsi="Times New Roman" w:hint="default"/>
      </w:rPr>
    </w:lvl>
    <w:lvl w:ilvl="3" w:tplc="9D9266CA" w:tentative="1">
      <w:start w:val="1"/>
      <w:numFmt w:val="bullet"/>
      <w:lvlText w:val="-"/>
      <w:lvlJc w:val="left"/>
      <w:pPr>
        <w:tabs>
          <w:tab w:val="num" w:pos="2880"/>
        </w:tabs>
        <w:ind w:left="2880" w:hanging="360"/>
      </w:pPr>
      <w:rPr>
        <w:rFonts w:ascii="Times New Roman" w:hAnsi="Times New Roman" w:hint="default"/>
      </w:rPr>
    </w:lvl>
    <w:lvl w:ilvl="4" w:tplc="EBA6E6DA" w:tentative="1">
      <w:start w:val="1"/>
      <w:numFmt w:val="bullet"/>
      <w:lvlText w:val="-"/>
      <w:lvlJc w:val="left"/>
      <w:pPr>
        <w:tabs>
          <w:tab w:val="num" w:pos="3600"/>
        </w:tabs>
        <w:ind w:left="3600" w:hanging="360"/>
      </w:pPr>
      <w:rPr>
        <w:rFonts w:ascii="Times New Roman" w:hAnsi="Times New Roman" w:hint="default"/>
      </w:rPr>
    </w:lvl>
    <w:lvl w:ilvl="5" w:tplc="F9BC3CBA" w:tentative="1">
      <w:start w:val="1"/>
      <w:numFmt w:val="bullet"/>
      <w:lvlText w:val="-"/>
      <w:lvlJc w:val="left"/>
      <w:pPr>
        <w:tabs>
          <w:tab w:val="num" w:pos="4320"/>
        </w:tabs>
        <w:ind w:left="4320" w:hanging="360"/>
      </w:pPr>
      <w:rPr>
        <w:rFonts w:ascii="Times New Roman" w:hAnsi="Times New Roman" w:hint="default"/>
      </w:rPr>
    </w:lvl>
    <w:lvl w:ilvl="6" w:tplc="3D7AC53C" w:tentative="1">
      <w:start w:val="1"/>
      <w:numFmt w:val="bullet"/>
      <w:lvlText w:val="-"/>
      <w:lvlJc w:val="left"/>
      <w:pPr>
        <w:tabs>
          <w:tab w:val="num" w:pos="5040"/>
        </w:tabs>
        <w:ind w:left="5040" w:hanging="360"/>
      </w:pPr>
      <w:rPr>
        <w:rFonts w:ascii="Times New Roman" w:hAnsi="Times New Roman" w:hint="default"/>
      </w:rPr>
    </w:lvl>
    <w:lvl w:ilvl="7" w:tplc="266A3E86" w:tentative="1">
      <w:start w:val="1"/>
      <w:numFmt w:val="bullet"/>
      <w:lvlText w:val="-"/>
      <w:lvlJc w:val="left"/>
      <w:pPr>
        <w:tabs>
          <w:tab w:val="num" w:pos="5760"/>
        </w:tabs>
        <w:ind w:left="5760" w:hanging="360"/>
      </w:pPr>
      <w:rPr>
        <w:rFonts w:ascii="Times New Roman" w:hAnsi="Times New Roman" w:hint="default"/>
      </w:rPr>
    </w:lvl>
    <w:lvl w:ilvl="8" w:tplc="1E6221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D520068"/>
    <w:multiLevelType w:val="hybridMultilevel"/>
    <w:tmpl w:val="A9DCDE2C"/>
    <w:lvl w:ilvl="0" w:tplc="E71E2E7C">
      <w:start w:val="1"/>
      <w:numFmt w:val="bullet"/>
      <w:lvlText w:val="•"/>
      <w:lvlJc w:val="left"/>
      <w:pPr>
        <w:tabs>
          <w:tab w:val="num" w:pos="720"/>
        </w:tabs>
        <w:ind w:left="720" w:hanging="360"/>
      </w:pPr>
      <w:rPr>
        <w:rFonts w:ascii="Arial" w:hAnsi="Arial" w:hint="default"/>
      </w:rPr>
    </w:lvl>
    <w:lvl w:ilvl="1" w:tplc="D5BE96F4" w:tentative="1">
      <w:start w:val="1"/>
      <w:numFmt w:val="bullet"/>
      <w:lvlText w:val="•"/>
      <w:lvlJc w:val="left"/>
      <w:pPr>
        <w:tabs>
          <w:tab w:val="num" w:pos="1440"/>
        </w:tabs>
        <w:ind w:left="1440" w:hanging="360"/>
      </w:pPr>
      <w:rPr>
        <w:rFonts w:ascii="Arial" w:hAnsi="Arial" w:hint="default"/>
      </w:rPr>
    </w:lvl>
    <w:lvl w:ilvl="2" w:tplc="7E784180" w:tentative="1">
      <w:start w:val="1"/>
      <w:numFmt w:val="bullet"/>
      <w:lvlText w:val="•"/>
      <w:lvlJc w:val="left"/>
      <w:pPr>
        <w:tabs>
          <w:tab w:val="num" w:pos="2160"/>
        </w:tabs>
        <w:ind w:left="2160" w:hanging="360"/>
      </w:pPr>
      <w:rPr>
        <w:rFonts w:ascii="Arial" w:hAnsi="Arial" w:hint="default"/>
      </w:rPr>
    </w:lvl>
    <w:lvl w:ilvl="3" w:tplc="2D92AB48" w:tentative="1">
      <w:start w:val="1"/>
      <w:numFmt w:val="bullet"/>
      <w:lvlText w:val="•"/>
      <w:lvlJc w:val="left"/>
      <w:pPr>
        <w:tabs>
          <w:tab w:val="num" w:pos="2880"/>
        </w:tabs>
        <w:ind w:left="2880" w:hanging="360"/>
      </w:pPr>
      <w:rPr>
        <w:rFonts w:ascii="Arial" w:hAnsi="Arial" w:hint="default"/>
      </w:rPr>
    </w:lvl>
    <w:lvl w:ilvl="4" w:tplc="76007424" w:tentative="1">
      <w:start w:val="1"/>
      <w:numFmt w:val="bullet"/>
      <w:lvlText w:val="•"/>
      <w:lvlJc w:val="left"/>
      <w:pPr>
        <w:tabs>
          <w:tab w:val="num" w:pos="3600"/>
        </w:tabs>
        <w:ind w:left="3600" w:hanging="360"/>
      </w:pPr>
      <w:rPr>
        <w:rFonts w:ascii="Arial" w:hAnsi="Arial" w:hint="default"/>
      </w:rPr>
    </w:lvl>
    <w:lvl w:ilvl="5" w:tplc="1D42ECCC" w:tentative="1">
      <w:start w:val="1"/>
      <w:numFmt w:val="bullet"/>
      <w:lvlText w:val="•"/>
      <w:lvlJc w:val="left"/>
      <w:pPr>
        <w:tabs>
          <w:tab w:val="num" w:pos="4320"/>
        </w:tabs>
        <w:ind w:left="4320" w:hanging="360"/>
      </w:pPr>
      <w:rPr>
        <w:rFonts w:ascii="Arial" w:hAnsi="Arial" w:hint="default"/>
      </w:rPr>
    </w:lvl>
    <w:lvl w:ilvl="6" w:tplc="0BE841C2" w:tentative="1">
      <w:start w:val="1"/>
      <w:numFmt w:val="bullet"/>
      <w:lvlText w:val="•"/>
      <w:lvlJc w:val="left"/>
      <w:pPr>
        <w:tabs>
          <w:tab w:val="num" w:pos="5040"/>
        </w:tabs>
        <w:ind w:left="5040" w:hanging="360"/>
      </w:pPr>
      <w:rPr>
        <w:rFonts w:ascii="Arial" w:hAnsi="Arial" w:hint="default"/>
      </w:rPr>
    </w:lvl>
    <w:lvl w:ilvl="7" w:tplc="3F84050A" w:tentative="1">
      <w:start w:val="1"/>
      <w:numFmt w:val="bullet"/>
      <w:lvlText w:val="•"/>
      <w:lvlJc w:val="left"/>
      <w:pPr>
        <w:tabs>
          <w:tab w:val="num" w:pos="5760"/>
        </w:tabs>
        <w:ind w:left="5760" w:hanging="360"/>
      </w:pPr>
      <w:rPr>
        <w:rFonts w:ascii="Arial" w:hAnsi="Arial" w:hint="default"/>
      </w:rPr>
    </w:lvl>
    <w:lvl w:ilvl="8" w:tplc="9B76A4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29"/>
    <w:rsid w:val="000C36E8"/>
    <w:rsid w:val="000F5B29"/>
    <w:rsid w:val="00412C89"/>
    <w:rsid w:val="00444F2B"/>
    <w:rsid w:val="00454167"/>
    <w:rsid w:val="00583C0F"/>
    <w:rsid w:val="005F24A6"/>
    <w:rsid w:val="006F76DD"/>
    <w:rsid w:val="007939D7"/>
    <w:rsid w:val="008A48C4"/>
    <w:rsid w:val="00931B5C"/>
    <w:rsid w:val="00A75271"/>
    <w:rsid w:val="00AB03FD"/>
    <w:rsid w:val="00AB44D7"/>
    <w:rsid w:val="00AD6975"/>
    <w:rsid w:val="00B55E8E"/>
    <w:rsid w:val="00BF5163"/>
    <w:rsid w:val="00CB072A"/>
    <w:rsid w:val="00D40F44"/>
    <w:rsid w:val="00D645A2"/>
    <w:rsid w:val="00E04C6D"/>
    <w:rsid w:val="00E16ED2"/>
    <w:rsid w:val="00E57B75"/>
    <w:rsid w:val="00F45584"/>
    <w:rsid w:val="00FD18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08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5B29"/>
    <w:rPr>
      <w:rFonts w:ascii="Times New Roman" w:eastAsiaTheme="minorEastAsia"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F2B"/>
    <w:pPr>
      <w:tabs>
        <w:tab w:val="center" w:pos="4419"/>
        <w:tab w:val="right" w:pos="8838"/>
      </w:tabs>
    </w:pPr>
  </w:style>
  <w:style w:type="character" w:customStyle="1" w:styleId="EncabezadoCar">
    <w:name w:val="Encabezado Car"/>
    <w:basedOn w:val="Fuentedeprrafopredeter"/>
    <w:link w:val="Encabezado"/>
    <w:uiPriority w:val="99"/>
    <w:rsid w:val="00444F2B"/>
    <w:rPr>
      <w:rFonts w:ascii="Times New Roman" w:eastAsiaTheme="minorEastAsia" w:hAnsi="Times New Roman" w:cs="Times New Roman"/>
      <w:lang w:eastAsia="es-ES_tradnl"/>
    </w:rPr>
  </w:style>
  <w:style w:type="paragraph" w:styleId="Piedepgina">
    <w:name w:val="footer"/>
    <w:basedOn w:val="Normal"/>
    <w:link w:val="PiedepginaCar"/>
    <w:uiPriority w:val="99"/>
    <w:unhideWhenUsed/>
    <w:rsid w:val="00444F2B"/>
    <w:pPr>
      <w:tabs>
        <w:tab w:val="center" w:pos="4419"/>
        <w:tab w:val="right" w:pos="8838"/>
      </w:tabs>
    </w:pPr>
  </w:style>
  <w:style w:type="character" w:customStyle="1" w:styleId="PiedepginaCar">
    <w:name w:val="Pie de página Car"/>
    <w:basedOn w:val="Fuentedeprrafopredeter"/>
    <w:link w:val="Piedepgina"/>
    <w:uiPriority w:val="99"/>
    <w:rsid w:val="00444F2B"/>
    <w:rPr>
      <w:rFonts w:ascii="Times New Roman" w:eastAsiaTheme="minorEastAsia"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26DD.A3F2E9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AMETIC_PI</cp:lastModifiedBy>
  <cp:revision>13</cp:revision>
  <dcterms:created xsi:type="dcterms:W3CDTF">2017-09-06T10:51:00Z</dcterms:created>
  <dcterms:modified xsi:type="dcterms:W3CDTF">2017-09-07T09:07:00Z</dcterms:modified>
</cp:coreProperties>
</file>