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025B" w14:textId="77777777" w:rsidR="005A0276" w:rsidRPr="00510964" w:rsidRDefault="005A0276" w:rsidP="000C15D6">
      <w:pPr>
        <w:autoSpaceDE w:val="0"/>
        <w:autoSpaceDN w:val="0"/>
        <w:adjustRightInd w:val="0"/>
        <w:jc w:val="both"/>
        <w:rPr>
          <w:rFonts w:ascii="Verdana" w:hAnsi="Verdana" w:cs="Verdana,Bold"/>
          <w:b/>
          <w:bCs/>
          <w:color w:val="996633"/>
          <w:sz w:val="22"/>
          <w:szCs w:val="22"/>
        </w:rPr>
      </w:pPr>
      <w:bookmarkStart w:id="0" w:name="_GoBack"/>
      <w:bookmarkEnd w:id="0"/>
    </w:p>
    <w:p w14:paraId="57E74D9A" w14:textId="2229F2A9" w:rsidR="00510964" w:rsidRPr="005B54CA" w:rsidRDefault="00510964" w:rsidP="00510964">
      <w:pPr>
        <w:jc w:val="center"/>
        <w:rPr>
          <w:rFonts w:ascii="Verdana" w:hAnsi="Verdana"/>
          <w:b/>
          <w:bCs/>
          <w:color w:val="996633"/>
          <w:sz w:val="28"/>
          <w:szCs w:val="28"/>
        </w:rPr>
      </w:pPr>
      <w:r w:rsidRPr="005B54CA">
        <w:rPr>
          <w:rFonts w:ascii="Verdana" w:hAnsi="Verdana"/>
          <w:b/>
          <w:bCs/>
          <w:color w:val="996633"/>
          <w:sz w:val="28"/>
          <w:szCs w:val="28"/>
        </w:rPr>
        <w:t xml:space="preserve">El mercado de las </w:t>
      </w:r>
      <w:r w:rsidR="003A3D50" w:rsidRPr="005B54CA">
        <w:rPr>
          <w:rFonts w:ascii="Verdana" w:hAnsi="Verdana"/>
          <w:b/>
          <w:bCs/>
          <w:color w:val="996633"/>
          <w:sz w:val="28"/>
          <w:szCs w:val="28"/>
        </w:rPr>
        <w:t>T</w:t>
      </w:r>
      <w:r w:rsidRPr="005B54CA">
        <w:rPr>
          <w:rFonts w:ascii="Verdana" w:hAnsi="Verdana"/>
          <w:b/>
          <w:bCs/>
          <w:color w:val="996633"/>
          <w:sz w:val="28"/>
          <w:szCs w:val="28"/>
        </w:rPr>
        <w:t>ecnologías de la Información</w:t>
      </w:r>
    </w:p>
    <w:p w14:paraId="5F98E00A" w14:textId="77777777" w:rsidR="00510964" w:rsidRPr="005B54CA" w:rsidRDefault="00510964" w:rsidP="00510964">
      <w:pPr>
        <w:jc w:val="center"/>
        <w:rPr>
          <w:rFonts w:ascii="Verdana" w:hAnsi="Verdana"/>
          <w:b/>
          <w:bCs/>
          <w:color w:val="996633"/>
          <w:sz w:val="28"/>
          <w:szCs w:val="28"/>
        </w:rPr>
      </w:pPr>
      <w:r w:rsidRPr="005B54CA">
        <w:rPr>
          <w:rFonts w:ascii="Verdana" w:hAnsi="Verdana"/>
          <w:b/>
          <w:bCs/>
          <w:color w:val="996633"/>
          <w:sz w:val="28"/>
          <w:szCs w:val="28"/>
        </w:rPr>
        <w:t xml:space="preserve"> en España creció un 3,3% en 2016</w:t>
      </w:r>
    </w:p>
    <w:p w14:paraId="06D7CA56" w14:textId="77777777" w:rsidR="002648F7" w:rsidRDefault="002648F7" w:rsidP="00510964">
      <w:pPr>
        <w:jc w:val="center"/>
        <w:rPr>
          <w:rFonts w:ascii="Verdana" w:hAnsi="Verdana"/>
          <w:b/>
          <w:bCs/>
          <w:color w:val="996633"/>
          <w:sz w:val="28"/>
          <w:szCs w:val="28"/>
        </w:rPr>
      </w:pPr>
    </w:p>
    <w:p w14:paraId="1F79EB88" w14:textId="77777777" w:rsidR="00F15D60" w:rsidRPr="002648F7" w:rsidRDefault="002648F7" w:rsidP="00310D83">
      <w:pPr>
        <w:pStyle w:val="Prrafodelista"/>
        <w:numPr>
          <w:ilvl w:val="0"/>
          <w:numId w:val="9"/>
        </w:numPr>
        <w:spacing w:line="360" w:lineRule="auto"/>
        <w:jc w:val="both"/>
        <w:rPr>
          <w:rFonts w:ascii="Verdana" w:hAnsi="Verdana"/>
          <w:b/>
          <w:bCs/>
          <w:color w:val="996633"/>
          <w:sz w:val="22"/>
          <w:szCs w:val="22"/>
        </w:rPr>
      </w:pPr>
      <w:r w:rsidRPr="002648F7">
        <w:rPr>
          <w:rFonts w:ascii="Verdana" w:hAnsi="Verdana"/>
          <w:b/>
          <w:bCs/>
          <w:color w:val="996633"/>
          <w:sz w:val="22"/>
          <w:szCs w:val="22"/>
        </w:rPr>
        <w:t xml:space="preserve">Alcanza </w:t>
      </w:r>
      <w:r>
        <w:rPr>
          <w:rFonts w:ascii="Verdana" w:hAnsi="Verdana"/>
          <w:b/>
          <w:bCs/>
          <w:color w:val="996633"/>
          <w:sz w:val="22"/>
          <w:szCs w:val="22"/>
        </w:rPr>
        <w:t xml:space="preserve">una facturación de </w:t>
      </w:r>
      <w:r w:rsidRPr="002648F7">
        <w:rPr>
          <w:rFonts w:ascii="Verdana" w:hAnsi="Verdana"/>
          <w:b/>
          <w:bCs/>
          <w:color w:val="996633"/>
          <w:sz w:val="22"/>
          <w:szCs w:val="22"/>
        </w:rPr>
        <w:t>23.441 millones de</w:t>
      </w:r>
      <w:r>
        <w:rPr>
          <w:rFonts w:ascii="Verdana" w:hAnsi="Verdana"/>
          <w:b/>
          <w:bCs/>
          <w:color w:val="996633"/>
          <w:sz w:val="22"/>
          <w:szCs w:val="22"/>
        </w:rPr>
        <w:t xml:space="preserve"> euros.</w:t>
      </w:r>
    </w:p>
    <w:p w14:paraId="234D9347" w14:textId="7A5534D0" w:rsidR="002648F7" w:rsidRDefault="002648F7" w:rsidP="00310D83">
      <w:pPr>
        <w:pStyle w:val="Prrafodelista"/>
        <w:numPr>
          <w:ilvl w:val="0"/>
          <w:numId w:val="9"/>
        </w:numPr>
        <w:jc w:val="both"/>
        <w:rPr>
          <w:rFonts w:ascii="Verdana" w:hAnsi="Verdana"/>
          <w:b/>
          <w:bCs/>
          <w:color w:val="996633"/>
          <w:sz w:val="22"/>
          <w:szCs w:val="22"/>
        </w:rPr>
      </w:pPr>
      <w:r w:rsidRPr="002648F7">
        <w:rPr>
          <w:rFonts w:ascii="Verdana" w:hAnsi="Verdana"/>
          <w:b/>
          <w:bCs/>
          <w:color w:val="996633"/>
          <w:sz w:val="22"/>
          <w:szCs w:val="22"/>
        </w:rPr>
        <w:t xml:space="preserve">Los </w:t>
      </w:r>
      <w:r w:rsidR="00D80CD2">
        <w:rPr>
          <w:rFonts w:ascii="Verdana" w:hAnsi="Verdana"/>
          <w:b/>
          <w:bCs/>
          <w:color w:val="996633"/>
          <w:sz w:val="22"/>
          <w:szCs w:val="22"/>
        </w:rPr>
        <w:t>S</w:t>
      </w:r>
      <w:r w:rsidRPr="002648F7">
        <w:rPr>
          <w:rFonts w:ascii="Verdana" w:hAnsi="Verdana"/>
          <w:b/>
          <w:bCs/>
          <w:color w:val="996633"/>
          <w:sz w:val="22"/>
          <w:szCs w:val="22"/>
        </w:rPr>
        <w:t xml:space="preserve">ervicios TI con </w:t>
      </w:r>
      <w:r>
        <w:rPr>
          <w:rFonts w:ascii="Verdana" w:hAnsi="Verdana"/>
          <w:b/>
          <w:bCs/>
          <w:color w:val="996633"/>
          <w:sz w:val="22"/>
          <w:szCs w:val="22"/>
        </w:rPr>
        <w:t>un</w:t>
      </w:r>
      <w:r w:rsidRPr="002648F7">
        <w:rPr>
          <w:rFonts w:ascii="Verdana" w:hAnsi="Verdana"/>
          <w:b/>
          <w:bCs/>
          <w:color w:val="996633"/>
          <w:sz w:val="22"/>
          <w:szCs w:val="22"/>
        </w:rPr>
        <w:t xml:space="preserve"> 5,2% y el Software con un 3,6</w:t>
      </w:r>
      <w:r w:rsidR="008E56D7">
        <w:rPr>
          <w:rFonts w:ascii="Verdana" w:hAnsi="Verdana"/>
          <w:b/>
          <w:bCs/>
          <w:color w:val="996633"/>
          <w:sz w:val="22"/>
          <w:szCs w:val="22"/>
        </w:rPr>
        <w:t>%</w:t>
      </w:r>
      <w:r w:rsidRPr="002648F7">
        <w:rPr>
          <w:rFonts w:ascii="Verdana" w:hAnsi="Verdana"/>
          <w:b/>
          <w:bCs/>
          <w:color w:val="996633"/>
          <w:sz w:val="22"/>
          <w:szCs w:val="22"/>
        </w:rPr>
        <w:t xml:space="preserve"> de </w:t>
      </w:r>
      <w:r>
        <w:rPr>
          <w:rFonts w:ascii="Verdana" w:hAnsi="Verdana"/>
          <w:b/>
          <w:bCs/>
          <w:color w:val="996633"/>
          <w:sz w:val="22"/>
          <w:szCs w:val="22"/>
        </w:rPr>
        <w:t>aumento</w:t>
      </w:r>
      <w:r w:rsidRPr="002648F7">
        <w:rPr>
          <w:rFonts w:ascii="Verdana" w:hAnsi="Verdana"/>
          <w:b/>
          <w:bCs/>
          <w:color w:val="996633"/>
          <w:sz w:val="22"/>
          <w:szCs w:val="22"/>
        </w:rPr>
        <w:t xml:space="preserve"> respectivo</w:t>
      </w:r>
      <w:r>
        <w:rPr>
          <w:rFonts w:ascii="Verdana" w:hAnsi="Verdana"/>
          <w:b/>
          <w:bCs/>
          <w:color w:val="996633"/>
          <w:sz w:val="22"/>
          <w:szCs w:val="22"/>
        </w:rPr>
        <w:t xml:space="preserve"> de negocio,</w:t>
      </w:r>
      <w:r w:rsidRPr="002648F7">
        <w:rPr>
          <w:rFonts w:ascii="Verdana" w:hAnsi="Verdana"/>
          <w:b/>
          <w:bCs/>
          <w:color w:val="996633"/>
          <w:sz w:val="22"/>
          <w:szCs w:val="22"/>
        </w:rPr>
        <w:t xml:space="preserve"> contrastan con el decrec</w:t>
      </w:r>
      <w:r>
        <w:rPr>
          <w:rFonts w:ascii="Verdana" w:hAnsi="Verdana"/>
          <w:b/>
          <w:bCs/>
          <w:color w:val="996633"/>
          <w:sz w:val="22"/>
          <w:szCs w:val="22"/>
        </w:rPr>
        <w:t>i</w:t>
      </w:r>
      <w:r w:rsidRPr="002648F7">
        <w:rPr>
          <w:rFonts w:ascii="Verdana" w:hAnsi="Verdana"/>
          <w:b/>
          <w:bCs/>
          <w:color w:val="996633"/>
          <w:sz w:val="22"/>
          <w:szCs w:val="22"/>
        </w:rPr>
        <w:t>mien</w:t>
      </w:r>
      <w:r>
        <w:rPr>
          <w:rFonts w:ascii="Verdana" w:hAnsi="Verdana"/>
          <w:b/>
          <w:bCs/>
          <w:color w:val="996633"/>
          <w:sz w:val="22"/>
          <w:szCs w:val="22"/>
        </w:rPr>
        <w:t>t</w:t>
      </w:r>
      <w:r w:rsidRPr="002648F7">
        <w:rPr>
          <w:rFonts w:ascii="Verdana" w:hAnsi="Verdana"/>
          <w:b/>
          <w:bCs/>
          <w:color w:val="996633"/>
          <w:sz w:val="22"/>
          <w:szCs w:val="22"/>
        </w:rPr>
        <w:t xml:space="preserve">o del mercado del Hardware que cae un </w:t>
      </w:r>
      <w:r w:rsidR="00232DE7">
        <w:rPr>
          <w:rFonts w:ascii="Verdana" w:hAnsi="Verdana"/>
          <w:b/>
          <w:bCs/>
          <w:color w:val="996633"/>
          <w:sz w:val="22"/>
          <w:szCs w:val="22"/>
        </w:rPr>
        <w:t>3,4</w:t>
      </w:r>
      <w:r w:rsidRPr="002648F7">
        <w:rPr>
          <w:rFonts w:ascii="Verdana" w:hAnsi="Verdana"/>
          <w:b/>
          <w:bCs/>
          <w:color w:val="996633"/>
          <w:sz w:val="22"/>
          <w:szCs w:val="22"/>
        </w:rPr>
        <w:t>%.</w:t>
      </w:r>
    </w:p>
    <w:p w14:paraId="7217E095" w14:textId="77777777" w:rsidR="002648F7" w:rsidRPr="002648F7" w:rsidRDefault="002648F7" w:rsidP="00310D83">
      <w:pPr>
        <w:pStyle w:val="Prrafodelista"/>
        <w:ind w:left="714"/>
        <w:jc w:val="both"/>
        <w:rPr>
          <w:rFonts w:ascii="Verdana" w:hAnsi="Verdana"/>
          <w:b/>
          <w:bCs/>
          <w:color w:val="996633"/>
          <w:sz w:val="22"/>
          <w:szCs w:val="22"/>
        </w:rPr>
      </w:pPr>
    </w:p>
    <w:p w14:paraId="190FB382" w14:textId="77777777" w:rsidR="002648F7" w:rsidRPr="002648F7" w:rsidRDefault="002648F7" w:rsidP="00310D83">
      <w:pPr>
        <w:pStyle w:val="Prrafodelista"/>
        <w:numPr>
          <w:ilvl w:val="0"/>
          <w:numId w:val="9"/>
        </w:numPr>
        <w:spacing w:line="360" w:lineRule="auto"/>
        <w:jc w:val="both"/>
        <w:rPr>
          <w:rFonts w:ascii="Verdana" w:hAnsi="Verdana"/>
          <w:b/>
          <w:bCs/>
          <w:color w:val="996633"/>
          <w:sz w:val="22"/>
          <w:szCs w:val="22"/>
        </w:rPr>
      </w:pPr>
      <w:r w:rsidRPr="002648F7">
        <w:rPr>
          <w:rFonts w:ascii="Verdana" w:hAnsi="Verdana"/>
          <w:b/>
          <w:bCs/>
          <w:color w:val="996633"/>
          <w:sz w:val="22"/>
          <w:szCs w:val="22"/>
        </w:rPr>
        <w:t>Dato positivo para el empleo con un repunte del 2,8%.</w:t>
      </w:r>
    </w:p>
    <w:p w14:paraId="0A6653FA" w14:textId="77777777" w:rsidR="00510964" w:rsidRPr="00527310" w:rsidRDefault="00510964" w:rsidP="00510964">
      <w:pPr>
        <w:rPr>
          <w:rFonts w:ascii="Verdana" w:hAnsi="Verdana"/>
          <w:b/>
          <w:bCs/>
          <w:sz w:val="20"/>
          <w:szCs w:val="20"/>
        </w:rPr>
      </w:pPr>
    </w:p>
    <w:p w14:paraId="12B057D1" w14:textId="75616168" w:rsidR="00510964" w:rsidRPr="00527310" w:rsidRDefault="00510964" w:rsidP="00510964">
      <w:pPr>
        <w:jc w:val="both"/>
        <w:rPr>
          <w:rFonts w:ascii="Verdana" w:hAnsi="Verdana"/>
          <w:bCs/>
          <w:sz w:val="20"/>
          <w:szCs w:val="20"/>
        </w:rPr>
      </w:pPr>
      <w:r w:rsidRPr="00527310">
        <w:rPr>
          <w:rFonts w:ascii="Verdana" w:hAnsi="Verdana"/>
          <w:bCs/>
          <w:i/>
          <w:sz w:val="20"/>
          <w:szCs w:val="20"/>
        </w:rPr>
        <w:t>Madrid, 27 de marzo de 2017.-</w:t>
      </w:r>
      <w:r w:rsidRPr="00527310">
        <w:rPr>
          <w:rFonts w:ascii="Verdana" w:hAnsi="Verdana"/>
          <w:bCs/>
          <w:sz w:val="20"/>
          <w:szCs w:val="20"/>
        </w:rPr>
        <w:t xml:space="preserve"> El mercado de las Tecnologías de la Información en España creció, en 2016, un 3,3%, respecto al año anterior, alcanzando los 23.441 millones de eur</w:t>
      </w:r>
      <w:r w:rsidR="008E56D7">
        <w:rPr>
          <w:rFonts w:ascii="Verdana" w:hAnsi="Verdana"/>
          <w:bCs/>
          <w:sz w:val="20"/>
          <w:szCs w:val="20"/>
        </w:rPr>
        <w:t>os. En lo que respecta al empleo</w:t>
      </w:r>
      <w:r w:rsidRPr="00527310">
        <w:rPr>
          <w:rFonts w:ascii="Verdana" w:hAnsi="Verdana"/>
          <w:bCs/>
          <w:sz w:val="20"/>
          <w:szCs w:val="20"/>
        </w:rPr>
        <w:t>, el dato también es positivo con un aumento en la contratación de un 2,8%.</w:t>
      </w:r>
    </w:p>
    <w:p w14:paraId="1225B708" w14:textId="77777777" w:rsidR="00510964" w:rsidRPr="00527310" w:rsidRDefault="00510964" w:rsidP="00510964">
      <w:pPr>
        <w:jc w:val="both"/>
        <w:rPr>
          <w:rFonts w:ascii="Verdana" w:hAnsi="Verdana"/>
          <w:bCs/>
          <w:sz w:val="20"/>
          <w:szCs w:val="20"/>
        </w:rPr>
      </w:pPr>
    </w:p>
    <w:p w14:paraId="4BEB7A08" w14:textId="647EFD08" w:rsidR="00510964" w:rsidRPr="00527310" w:rsidRDefault="00510964" w:rsidP="00510964">
      <w:pPr>
        <w:jc w:val="both"/>
        <w:rPr>
          <w:rFonts w:ascii="Verdana" w:hAnsi="Verdana"/>
          <w:bCs/>
          <w:sz w:val="20"/>
          <w:szCs w:val="20"/>
        </w:rPr>
      </w:pPr>
      <w:r w:rsidRPr="00527310">
        <w:rPr>
          <w:rFonts w:ascii="Verdana" w:hAnsi="Verdana"/>
          <w:bCs/>
          <w:sz w:val="20"/>
          <w:szCs w:val="20"/>
        </w:rPr>
        <w:t xml:space="preserve">A </w:t>
      </w:r>
      <w:r w:rsidRPr="000D5B14">
        <w:rPr>
          <w:rFonts w:ascii="Verdana" w:hAnsi="Verdana"/>
          <w:bCs/>
          <w:sz w:val="20"/>
          <w:szCs w:val="20"/>
        </w:rPr>
        <w:t>destacar</w:t>
      </w:r>
      <w:r w:rsidRPr="00527310">
        <w:rPr>
          <w:rFonts w:ascii="Verdana" w:hAnsi="Verdana"/>
          <w:bCs/>
          <w:sz w:val="20"/>
          <w:szCs w:val="20"/>
        </w:rPr>
        <w:t xml:space="preserve"> los Servicios TI que aume</w:t>
      </w:r>
      <w:r w:rsidR="002648F7">
        <w:rPr>
          <w:rFonts w:ascii="Verdana" w:hAnsi="Verdana"/>
          <w:bCs/>
          <w:sz w:val="20"/>
          <w:szCs w:val="20"/>
        </w:rPr>
        <w:t>n</w:t>
      </w:r>
      <w:r w:rsidRPr="00527310">
        <w:rPr>
          <w:rFonts w:ascii="Verdana" w:hAnsi="Verdana"/>
          <w:bCs/>
          <w:sz w:val="20"/>
          <w:szCs w:val="20"/>
        </w:rPr>
        <w:t>ta</w:t>
      </w:r>
      <w:r w:rsidR="008E56D7">
        <w:rPr>
          <w:rFonts w:ascii="Verdana" w:hAnsi="Verdana"/>
          <w:bCs/>
          <w:sz w:val="20"/>
          <w:szCs w:val="20"/>
        </w:rPr>
        <w:t xml:space="preserve">n un 5,2%, hasta los 15.963 M€ </w:t>
      </w:r>
      <w:r w:rsidRPr="00527310">
        <w:rPr>
          <w:rFonts w:ascii="Verdana" w:hAnsi="Verdana"/>
          <w:bCs/>
          <w:sz w:val="20"/>
          <w:szCs w:val="20"/>
        </w:rPr>
        <w:t>de facturación; el Software, por su parte, crece un 3,6% con una facturación de 3.099 M€. La nota negativa la p</w:t>
      </w:r>
      <w:r w:rsidR="008E56D7">
        <w:rPr>
          <w:rFonts w:ascii="Verdana" w:hAnsi="Verdana"/>
          <w:bCs/>
          <w:sz w:val="20"/>
          <w:szCs w:val="20"/>
        </w:rPr>
        <w:t>one el segmento de los equipos H</w:t>
      </w:r>
      <w:r w:rsidRPr="00527310">
        <w:rPr>
          <w:rFonts w:ascii="Verdana" w:hAnsi="Verdana"/>
          <w:bCs/>
          <w:sz w:val="20"/>
          <w:szCs w:val="20"/>
        </w:rPr>
        <w:t>ardware cuyas ventas descendieron un 3,</w:t>
      </w:r>
      <w:r w:rsidR="008E56D7">
        <w:rPr>
          <w:rFonts w:ascii="Verdana" w:hAnsi="Verdana"/>
          <w:bCs/>
          <w:sz w:val="20"/>
          <w:szCs w:val="20"/>
        </w:rPr>
        <w:t>4%, con una facturación que baja hasta los</w:t>
      </w:r>
      <w:r w:rsidRPr="00527310">
        <w:rPr>
          <w:rFonts w:ascii="Verdana" w:hAnsi="Verdana"/>
          <w:bCs/>
          <w:sz w:val="20"/>
          <w:szCs w:val="20"/>
        </w:rPr>
        <w:t xml:space="preserve"> 4.379 M€.</w:t>
      </w:r>
    </w:p>
    <w:p w14:paraId="23B573BA" w14:textId="77777777" w:rsidR="00D97F10" w:rsidRPr="00527310" w:rsidRDefault="00D97F10" w:rsidP="00D97F10">
      <w:pPr>
        <w:pStyle w:val="p1"/>
        <w:jc w:val="both"/>
        <w:rPr>
          <w:rStyle w:val="s1"/>
          <w:rFonts w:ascii="Verdana" w:hAnsi="Verdana"/>
          <w:color w:val="000000"/>
          <w:sz w:val="20"/>
          <w:szCs w:val="20"/>
        </w:rPr>
      </w:pPr>
    </w:p>
    <w:p w14:paraId="032572DA" w14:textId="2A5366DA" w:rsidR="00510964" w:rsidRPr="00527310" w:rsidRDefault="00D97F10" w:rsidP="00D97F10">
      <w:pPr>
        <w:pStyle w:val="p1"/>
        <w:jc w:val="both"/>
        <w:rPr>
          <w:rStyle w:val="s1"/>
          <w:rFonts w:ascii="Verdana" w:hAnsi="Verdana"/>
          <w:color w:val="000000"/>
          <w:sz w:val="20"/>
          <w:szCs w:val="20"/>
        </w:rPr>
      </w:pPr>
      <w:r w:rsidRPr="00527310">
        <w:rPr>
          <w:rStyle w:val="s1"/>
          <w:rFonts w:ascii="Verdana" w:hAnsi="Verdana"/>
          <w:color w:val="000000"/>
          <w:sz w:val="20"/>
          <w:szCs w:val="20"/>
        </w:rPr>
        <w:t xml:space="preserve">Cabe </w:t>
      </w:r>
      <w:r w:rsidR="00834742">
        <w:rPr>
          <w:rStyle w:val="s1"/>
          <w:rFonts w:ascii="Verdana" w:hAnsi="Verdana"/>
          <w:color w:val="000000"/>
          <w:sz w:val="20"/>
          <w:szCs w:val="20"/>
        </w:rPr>
        <w:t xml:space="preserve">resaltar </w:t>
      </w:r>
      <w:r w:rsidRPr="00527310">
        <w:rPr>
          <w:rStyle w:val="s1"/>
          <w:rFonts w:ascii="Verdana" w:hAnsi="Verdana"/>
          <w:color w:val="000000"/>
          <w:sz w:val="20"/>
          <w:szCs w:val="20"/>
        </w:rPr>
        <w:t>que estamos ante el</w:t>
      </w:r>
      <w:r w:rsidR="00510964" w:rsidRPr="00527310">
        <w:rPr>
          <w:rStyle w:val="s1"/>
          <w:rFonts w:ascii="Verdana" w:hAnsi="Verdana"/>
          <w:color w:val="000000"/>
          <w:sz w:val="20"/>
          <w:szCs w:val="20"/>
        </w:rPr>
        <w:t xml:space="preserve"> tercer año consecutivo que el Sector de las TI en su conjunto arroja resultados positivos. </w:t>
      </w:r>
      <w:r w:rsidRPr="00527310">
        <w:rPr>
          <w:rStyle w:val="s1"/>
          <w:rFonts w:ascii="Verdana" w:hAnsi="Verdana"/>
          <w:color w:val="000000"/>
          <w:sz w:val="20"/>
          <w:szCs w:val="20"/>
        </w:rPr>
        <w:t xml:space="preserve">Si bien, </w:t>
      </w:r>
      <w:r w:rsidR="00510964" w:rsidRPr="00527310">
        <w:rPr>
          <w:rStyle w:val="s1"/>
          <w:rFonts w:ascii="Verdana" w:hAnsi="Verdana"/>
          <w:color w:val="000000"/>
          <w:sz w:val="20"/>
          <w:szCs w:val="20"/>
        </w:rPr>
        <w:t>el volumen de mercado se sitúa en cifras similares a las que ya se alcanzaban en el año 2010, e incluso por debajo de las del año 2008.</w:t>
      </w:r>
    </w:p>
    <w:p w14:paraId="4EB3C539" w14:textId="77777777" w:rsidR="00510964" w:rsidRPr="00527310" w:rsidRDefault="00510964" w:rsidP="00510964">
      <w:pPr>
        <w:pStyle w:val="Prrafodelista"/>
        <w:rPr>
          <w:rStyle w:val="s1"/>
          <w:rFonts w:ascii="Verdana" w:hAnsi="Verdana"/>
          <w:color w:val="000000"/>
          <w:sz w:val="20"/>
          <w:szCs w:val="20"/>
        </w:rPr>
      </w:pPr>
    </w:p>
    <w:p w14:paraId="683C0696" w14:textId="270C0CC5" w:rsidR="00232DE7" w:rsidRDefault="00510964" w:rsidP="00D97F10">
      <w:pPr>
        <w:pStyle w:val="p1"/>
        <w:jc w:val="both"/>
        <w:rPr>
          <w:rStyle w:val="s1"/>
          <w:rFonts w:ascii="Verdana" w:hAnsi="Verdana"/>
          <w:color w:val="000000"/>
          <w:sz w:val="20"/>
          <w:szCs w:val="20"/>
        </w:rPr>
      </w:pPr>
      <w:r w:rsidRPr="00527310">
        <w:rPr>
          <w:rStyle w:val="s1"/>
          <w:rFonts w:ascii="Verdana" w:hAnsi="Verdana"/>
          <w:color w:val="000000"/>
          <w:sz w:val="20"/>
          <w:szCs w:val="20"/>
        </w:rPr>
        <w:t xml:space="preserve">A diferencia de los </w:t>
      </w:r>
      <w:r w:rsidR="00D97F10" w:rsidRPr="00527310">
        <w:rPr>
          <w:rStyle w:val="s1"/>
          <w:rFonts w:ascii="Verdana" w:hAnsi="Verdana"/>
          <w:color w:val="000000"/>
          <w:sz w:val="20"/>
          <w:szCs w:val="20"/>
        </w:rPr>
        <w:t>dos</w:t>
      </w:r>
      <w:r w:rsidRPr="00527310">
        <w:rPr>
          <w:rStyle w:val="s1"/>
          <w:rFonts w:ascii="Verdana" w:hAnsi="Verdana"/>
          <w:color w:val="000000"/>
          <w:sz w:val="20"/>
          <w:szCs w:val="20"/>
        </w:rPr>
        <w:t xml:space="preserve"> ejercicios anteriores (2014 y 2015), esta evolución positiva no se ha trasladado en 2016 a los </w:t>
      </w:r>
      <w:r w:rsidR="00D97F10" w:rsidRPr="00527310">
        <w:rPr>
          <w:rStyle w:val="s1"/>
          <w:rFonts w:ascii="Verdana" w:hAnsi="Verdana"/>
          <w:color w:val="000000"/>
          <w:sz w:val="20"/>
          <w:szCs w:val="20"/>
        </w:rPr>
        <w:t>tres</w:t>
      </w:r>
      <w:r w:rsidRPr="00527310">
        <w:rPr>
          <w:rStyle w:val="s1"/>
          <w:rFonts w:ascii="Verdana" w:hAnsi="Verdana"/>
          <w:color w:val="000000"/>
          <w:sz w:val="20"/>
          <w:szCs w:val="20"/>
        </w:rPr>
        <w:t xml:space="preserve"> segmentos que conforman el </w:t>
      </w:r>
      <w:r w:rsidR="008F7E27">
        <w:rPr>
          <w:rStyle w:val="s1"/>
          <w:rFonts w:ascii="Verdana" w:hAnsi="Verdana"/>
          <w:color w:val="000000"/>
          <w:sz w:val="20"/>
          <w:szCs w:val="20"/>
        </w:rPr>
        <w:t>S</w:t>
      </w:r>
      <w:r w:rsidRPr="00527310">
        <w:rPr>
          <w:rStyle w:val="s1"/>
          <w:rFonts w:ascii="Verdana" w:hAnsi="Verdana"/>
          <w:color w:val="000000"/>
          <w:sz w:val="20"/>
          <w:szCs w:val="20"/>
        </w:rPr>
        <w:t xml:space="preserve">ector TI </w:t>
      </w:r>
      <w:r w:rsidR="00232DE7">
        <w:rPr>
          <w:rStyle w:val="s1"/>
          <w:rFonts w:ascii="Verdana" w:hAnsi="Verdana"/>
          <w:color w:val="000000"/>
          <w:sz w:val="20"/>
          <w:szCs w:val="20"/>
        </w:rPr>
        <w:t>debido al mencionado decrecimiento del Hardware.</w:t>
      </w:r>
    </w:p>
    <w:p w14:paraId="59D88750" w14:textId="77777777" w:rsidR="00232DE7" w:rsidRDefault="00232DE7" w:rsidP="00D97F10">
      <w:pPr>
        <w:pStyle w:val="p1"/>
        <w:jc w:val="both"/>
        <w:rPr>
          <w:rStyle w:val="s1"/>
          <w:rFonts w:ascii="Verdana" w:hAnsi="Verdana"/>
          <w:color w:val="000000"/>
          <w:sz w:val="20"/>
          <w:szCs w:val="20"/>
        </w:rPr>
      </w:pPr>
    </w:p>
    <w:p w14:paraId="35F695EE" w14:textId="1452AFA5" w:rsidR="00510964" w:rsidRPr="00F15D60" w:rsidRDefault="00510964" w:rsidP="00D97F10">
      <w:pPr>
        <w:pStyle w:val="p1"/>
        <w:jc w:val="both"/>
        <w:rPr>
          <w:rFonts w:ascii="Verdana" w:hAnsi="Verdana"/>
          <w:color w:val="000000"/>
          <w:sz w:val="20"/>
          <w:szCs w:val="20"/>
        </w:rPr>
      </w:pPr>
      <w:r w:rsidRPr="00527310">
        <w:rPr>
          <w:rStyle w:val="s1"/>
          <w:rFonts w:ascii="Verdana" w:hAnsi="Verdana"/>
          <w:color w:val="000000"/>
          <w:sz w:val="20"/>
          <w:szCs w:val="20"/>
        </w:rPr>
        <w:t xml:space="preserve">No obstante, al analizar </w:t>
      </w:r>
      <w:r w:rsidR="00D97F10" w:rsidRPr="00527310">
        <w:rPr>
          <w:rStyle w:val="s1"/>
          <w:rFonts w:ascii="Verdana" w:hAnsi="Verdana"/>
          <w:color w:val="000000"/>
          <w:sz w:val="20"/>
          <w:szCs w:val="20"/>
        </w:rPr>
        <w:t>las</w:t>
      </w:r>
      <w:r w:rsidRPr="00527310">
        <w:rPr>
          <w:rStyle w:val="s1"/>
          <w:rFonts w:ascii="Verdana" w:hAnsi="Verdana"/>
          <w:color w:val="000000"/>
          <w:sz w:val="20"/>
          <w:szCs w:val="20"/>
        </w:rPr>
        <w:t xml:space="preserve"> cifras es importante tener en cuenta el carácter anti</w:t>
      </w:r>
      <w:r w:rsidR="008E56D7">
        <w:rPr>
          <w:rStyle w:val="s1"/>
          <w:rFonts w:ascii="Verdana" w:hAnsi="Verdana"/>
          <w:color w:val="000000"/>
          <w:sz w:val="20"/>
          <w:szCs w:val="20"/>
        </w:rPr>
        <w:t xml:space="preserve"> </w:t>
      </w:r>
      <w:r w:rsidRPr="00527310">
        <w:rPr>
          <w:rStyle w:val="s1"/>
          <w:rFonts w:ascii="Verdana" w:hAnsi="Verdana"/>
          <w:color w:val="000000"/>
          <w:sz w:val="20"/>
          <w:szCs w:val="20"/>
        </w:rPr>
        <w:t xml:space="preserve">inflacionista del </w:t>
      </w:r>
      <w:r w:rsidR="008F7E27">
        <w:rPr>
          <w:rStyle w:val="s1"/>
          <w:rFonts w:ascii="Verdana" w:hAnsi="Verdana"/>
          <w:color w:val="000000"/>
          <w:sz w:val="20"/>
          <w:szCs w:val="20"/>
        </w:rPr>
        <w:t>S</w:t>
      </w:r>
      <w:r w:rsidRPr="00527310">
        <w:rPr>
          <w:rStyle w:val="s1"/>
          <w:rFonts w:ascii="Verdana" w:hAnsi="Verdana"/>
          <w:color w:val="000000"/>
          <w:sz w:val="20"/>
          <w:szCs w:val="20"/>
        </w:rPr>
        <w:t xml:space="preserve">ector de las TI, no solo debido a la evolución a la baja año tras año </w:t>
      </w:r>
      <w:r w:rsidRPr="00F15D60">
        <w:rPr>
          <w:rStyle w:val="s1"/>
          <w:rFonts w:ascii="Verdana" w:hAnsi="Verdana"/>
          <w:color w:val="000000"/>
          <w:sz w:val="20"/>
          <w:szCs w:val="20"/>
        </w:rPr>
        <w:t xml:space="preserve">del precio de los productos y servicios TI, sino también por el continuo aumento de prestaciones y capacidades de las nuevas versiones tecnológicas que van apareciendo. En definitiva, en el análisis de </w:t>
      </w:r>
      <w:r w:rsidR="00D97F10" w:rsidRPr="00F15D60">
        <w:rPr>
          <w:rStyle w:val="s1"/>
          <w:rFonts w:ascii="Verdana" w:hAnsi="Verdana"/>
          <w:color w:val="000000"/>
          <w:sz w:val="20"/>
          <w:szCs w:val="20"/>
        </w:rPr>
        <w:t xml:space="preserve">los datos </w:t>
      </w:r>
      <w:r w:rsidRPr="00F15D60">
        <w:rPr>
          <w:rStyle w:val="s1"/>
          <w:rFonts w:ascii="Verdana" w:hAnsi="Verdana"/>
          <w:color w:val="000000"/>
          <w:sz w:val="20"/>
          <w:szCs w:val="20"/>
        </w:rPr>
        <w:t>hay que tener en cuenta que incluso un mismo valor de mercado TI en términos económicos respecto de años anteriores</w:t>
      </w:r>
      <w:r w:rsidR="00D97F10" w:rsidRPr="00F15D60">
        <w:rPr>
          <w:rStyle w:val="s1"/>
          <w:rFonts w:ascii="Verdana" w:hAnsi="Verdana"/>
          <w:color w:val="000000"/>
          <w:sz w:val="20"/>
          <w:szCs w:val="20"/>
        </w:rPr>
        <w:t>,</w:t>
      </w:r>
      <w:r w:rsidRPr="00F15D60">
        <w:rPr>
          <w:rStyle w:val="s1"/>
          <w:rFonts w:ascii="Verdana" w:hAnsi="Verdana"/>
          <w:color w:val="000000"/>
          <w:sz w:val="20"/>
          <w:szCs w:val="20"/>
        </w:rPr>
        <w:t xml:space="preserve"> significaría un nivel de productos y servicios TI consumidos superior.</w:t>
      </w:r>
    </w:p>
    <w:p w14:paraId="4FE2A094" w14:textId="77777777" w:rsidR="00510964" w:rsidRPr="00F15D60" w:rsidRDefault="00510964" w:rsidP="00510964">
      <w:pPr>
        <w:pStyle w:val="p2"/>
        <w:jc w:val="both"/>
        <w:rPr>
          <w:rFonts w:ascii="Verdana" w:hAnsi="Verdana"/>
          <w:color w:val="000000"/>
          <w:sz w:val="20"/>
          <w:szCs w:val="20"/>
        </w:rPr>
      </w:pPr>
    </w:p>
    <w:p w14:paraId="443734CB" w14:textId="43290AC2" w:rsidR="00510964" w:rsidRPr="00F15D60" w:rsidRDefault="00510964" w:rsidP="00D97F10">
      <w:pPr>
        <w:pStyle w:val="p1"/>
        <w:jc w:val="both"/>
        <w:rPr>
          <w:rStyle w:val="s1"/>
          <w:rFonts w:ascii="Verdana" w:hAnsi="Verdana"/>
          <w:color w:val="000000"/>
          <w:sz w:val="20"/>
          <w:szCs w:val="20"/>
        </w:rPr>
      </w:pPr>
      <w:r w:rsidRPr="00F15D60">
        <w:rPr>
          <w:rStyle w:val="s1"/>
          <w:rFonts w:ascii="Verdana" w:hAnsi="Verdana"/>
          <w:color w:val="000000"/>
          <w:sz w:val="20"/>
          <w:szCs w:val="20"/>
        </w:rPr>
        <w:t xml:space="preserve">Con carácter general, los procesos de transformación digital en el ámbito de las empresas han sido </w:t>
      </w:r>
      <w:r w:rsidR="008E56D7">
        <w:rPr>
          <w:rStyle w:val="s1"/>
          <w:rFonts w:ascii="Verdana" w:hAnsi="Verdana"/>
          <w:color w:val="000000"/>
          <w:sz w:val="20"/>
          <w:szCs w:val="20"/>
        </w:rPr>
        <w:t>los principales responsables</w:t>
      </w:r>
      <w:r w:rsidRPr="00F15D60">
        <w:rPr>
          <w:rStyle w:val="s1"/>
          <w:rFonts w:ascii="Verdana" w:hAnsi="Verdana"/>
          <w:color w:val="000000"/>
          <w:sz w:val="20"/>
          <w:szCs w:val="20"/>
        </w:rPr>
        <w:t xml:space="preserve"> del aumento de la actividad TI, y muy especialmente la de los </w:t>
      </w:r>
      <w:r w:rsidR="00232DE7">
        <w:rPr>
          <w:rStyle w:val="s1"/>
          <w:rFonts w:ascii="Verdana" w:hAnsi="Verdana"/>
          <w:color w:val="000000"/>
          <w:sz w:val="20"/>
          <w:szCs w:val="20"/>
        </w:rPr>
        <w:t>S</w:t>
      </w:r>
      <w:r w:rsidRPr="00F15D60">
        <w:rPr>
          <w:rStyle w:val="s1"/>
          <w:rFonts w:ascii="Verdana" w:hAnsi="Verdana"/>
          <w:color w:val="000000"/>
          <w:sz w:val="20"/>
          <w:szCs w:val="20"/>
        </w:rPr>
        <w:t>ervicios TI</w:t>
      </w:r>
      <w:r w:rsidR="00D97F10" w:rsidRPr="00F15D60">
        <w:rPr>
          <w:rStyle w:val="s1"/>
          <w:rFonts w:ascii="Verdana" w:hAnsi="Verdana"/>
          <w:color w:val="000000"/>
          <w:sz w:val="20"/>
          <w:szCs w:val="20"/>
        </w:rPr>
        <w:t xml:space="preserve">. </w:t>
      </w:r>
      <w:r w:rsidRPr="00F47C1D">
        <w:rPr>
          <w:rStyle w:val="s1"/>
          <w:rFonts w:ascii="Verdana" w:hAnsi="Verdana"/>
          <w:color w:val="000000"/>
          <w:sz w:val="20"/>
          <w:szCs w:val="20"/>
        </w:rPr>
        <w:t xml:space="preserve">Por el contrario, la inestabilidad política y la </w:t>
      </w:r>
      <w:r w:rsidR="008E56D7" w:rsidRPr="00F47C1D">
        <w:rPr>
          <w:rStyle w:val="s1"/>
          <w:rFonts w:ascii="Verdana" w:hAnsi="Verdana"/>
          <w:color w:val="000000"/>
          <w:sz w:val="20"/>
          <w:szCs w:val="20"/>
        </w:rPr>
        <w:lastRenderedPageBreak/>
        <w:t>demora de</w:t>
      </w:r>
      <w:r w:rsidRPr="00F47C1D">
        <w:rPr>
          <w:rStyle w:val="s1"/>
          <w:rFonts w:ascii="Verdana" w:hAnsi="Verdana"/>
          <w:color w:val="000000"/>
          <w:sz w:val="20"/>
          <w:szCs w:val="20"/>
        </w:rPr>
        <w:t xml:space="preserve"> formación de</w:t>
      </w:r>
      <w:r w:rsidR="00D97F10" w:rsidRPr="00F47C1D">
        <w:rPr>
          <w:rStyle w:val="s1"/>
          <w:rFonts w:ascii="Verdana" w:hAnsi="Verdana"/>
          <w:color w:val="000000"/>
          <w:sz w:val="20"/>
          <w:szCs w:val="20"/>
        </w:rPr>
        <w:t xml:space="preserve"> G</w:t>
      </w:r>
      <w:r w:rsidRPr="00F47C1D">
        <w:rPr>
          <w:rStyle w:val="s1"/>
          <w:rFonts w:ascii="Verdana" w:hAnsi="Verdana"/>
          <w:color w:val="000000"/>
          <w:sz w:val="20"/>
          <w:szCs w:val="20"/>
        </w:rPr>
        <w:t>obierno</w:t>
      </w:r>
      <w:r w:rsidR="008F7E27">
        <w:rPr>
          <w:rStyle w:val="s1"/>
          <w:rFonts w:ascii="Verdana" w:hAnsi="Verdana"/>
          <w:color w:val="000000"/>
          <w:sz w:val="20"/>
          <w:szCs w:val="20"/>
        </w:rPr>
        <w:t>,</w:t>
      </w:r>
      <w:r w:rsidR="008E56D7" w:rsidRPr="00F47C1D">
        <w:rPr>
          <w:rStyle w:val="s1"/>
          <w:rFonts w:ascii="Verdana" w:hAnsi="Verdana"/>
          <w:color w:val="000000"/>
          <w:sz w:val="20"/>
          <w:szCs w:val="20"/>
        </w:rPr>
        <w:t xml:space="preserve"> que se prolongó</w:t>
      </w:r>
      <w:r w:rsidRPr="00F47C1D">
        <w:rPr>
          <w:rStyle w:val="s1"/>
          <w:rFonts w:ascii="Verdana" w:hAnsi="Verdana"/>
          <w:color w:val="000000"/>
          <w:sz w:val="20"/>
          <w:szCs w:val="20"/>
        </w:rPr>
        <w:t xml:space="preserve"> hasta el mes de octubre</w:t>
      </w:r>
      <w:r w:rsidR="00D97F10" w:rsidRPr="00F47C1D">
        <w:rPr>
          <w:rStyle w:val="s1"/>
          <w:rFonts w:ascii="Verdana" w:hAnsi="Verdana"/>
          <w:color w:val="000000"/>
          <w:sz w:val="20"/>
          <w:szCs w:val="20"/>
        </w:rPr>
        <w:t>,</w:t>
      </w:r>
      <w:r w:rsidRPr="00F47C1D">
        <w:rPr>
          <w:rStyle w:val="s1"/>
          <w:rFonts w:ascii="Verdana" w:hAnsi="Verdana"/>
          <w:color w:val="000000"/>
          <w:sz w:val="20"/>
          <w:szCs w:val="20"/>
        </w:rPr>
        <w:t xml:space="preserve"> afectaron muy significativamente a la baja las inversiones TI en el sector público</w:t>
      </w:r>
      <w:r w:rsidRPr="00F15D60">
        <w:rPr>
          <w:rStyle w:val="s1"/>
          <w:rFonts w:ascii="Verdana" w:hAnsi="Verdana"/>
          <w:color w:val="000000"/>
          <w:sz w:val="20"/>
          <w:szCs w:val="20"/>
        </w:rPr>
        <w:t>.</w:t>
      </w:r>
    </w:p>
    <w:p w14:paraId="14F12039" w14:textId="77777777" w:rsidR="00510964" w:rsidRPr="00F15D60" w:rsidRDefault="00510964" w:rsidP="00510964">
      <w:pPr>
        <w:pStyle w:val="Prrafodelista"/>
        <w:rPr>
          <w:rFonts w:ascii="Verdana" w:hAnsi="Verdana"/>
          <w:color w:val="000000"/>
          <w:sz w:val="20"/>
          <w:szCs w:val="20"/>
        </w:rPr>
      </w:pPr>
    </w:p>
    <w:p w14:paraId="016DE155" w14:textId="188E88B3" w:rsidR="00510964" w:rsidRPr="00F15D60" w:rsidRDefault="00510964" w:rsidP="00D97F10">
      <w:pPr>
        <w:pStyle w:val="p1"/>
        <w:jc w:val="both"/>
        <w:rPr>
          <w:rFonts w:ascii="Verdana" w:hAnsi="Verdana"/>
          <w:color w:val="000000"/>
          <w:sz w:val="20"/>
          <w:szCs w:val="20"/>
        </w:rPr>
      </w:pPr>
      <w:r w:rsidRPr="00F15D60">
        <w:rPr>
          <w:rStyle w:val="s1"/>
          <w:rFonts w:ascii="Verdana" w:hAnsi="Verdana"/>
          <w:color w:val="000000"/>
          <w:sz w:val="20"/>
          <w:szCs w:val="20"/>
        </w:rPr>
        <w:t>En un análisis por sectores, han destacado por su mayor crecimiento de su inversión en TI durante 2016 la industria, la banca y el sector asegurador.</w:t>
      </w:r>
      <w:r w:rsidR="00D97F10" w:rsidRPr="00F15D60">
        <w:rPr>
          <w:rStyle w:val="s1"/>
          <w:rFonts w:ascii="Verdana" w:hAnsi="Verdana"/>
          <w:color w:val="000000"/>
          <w:sz w:val="20"/>
          <w:szCs w:val="20"/>
        </w:rPr>
        <w:t xml:space="preserve"> </w:t>
      </w:r>
      <w:r w:rsidRPr="00F15D60">
        <w:rPr>
          <w:rFonts w:ascii="Verdana" w:hAnsi="Verdana"/>
          <w:color w:val="000000"/>
          <w:sz w:val="20"/>
          <w:szCs w:val="20"/>
        </w:rPr>
        <w:t>De cara a 2017</w:t>
      </w:r>
      <w:r w:rsidR="00D97F10" w:rsidRPr="00F15D60">
        <w:rPr>
          <w:rFonts w:ascii="Verdana" w:hAnsi="Verdana"/>
          <w:color w:val="000000"/>
          <w:sz w:val="20"/>
          <w:szCs w:val="20"/>
        </w:rPr>
        <w:t xml:space="preserve">, </w:t>
      </w:r>
      <w:r w:rsidRPr="00F15D60">
        <w:rPr>
          <w:rFonts w:ascii="Verdana" w:hAnsi="Verdana"/>
          <w:color w:val="000000"/>
          <w:sz w:val="20"/>
          <w:szCs w:val="20"/>
        </w:rPr>
        <w:t>es muy importante el impulso que pueda suponer el nuevo plan digital a publicar por el Gobierno, así como la ejecución de proyectos de transformación digital de las Administraciones Públicas.</w:t>
      </w:r>
    </w:p>
    <w:p w14:paraId="6F6A3D50" w14:textId="77777777" w:rsidR="00D97F10" w:rsidRPr="00F15D60" w:rsidRDefault="00D97F10" w:rsidP="00D97F10">
      <w:pPr>
        <w:pStyle w:val="p1"/>
        <w:ind w:left="360"/>
        <w:jc w:val="both"/>
        <w:rPr>
          <w:rStyle w:val="s1"/>
          <w:rFonts w:ascii="Verdana" w:hAnsi="Verdana"/>
          <w:color w:val="000000"/>
          <w:sz w:val="20"/>
          <w:szCs w:val="20"/>
        </w:rPr>
      </w:pPr>
    </w:p>
    <w:p w14:paraId="59BF122F" w14:textId="2179FD27" w:rsidR="00510964" w:rsidRPr="00527310" w:rsidRDefault="00D97F10" w:rsidP="00D97F10">
      <w:pPr>
        <w:pStyle w:val="p1"/>
        <w:jc w:val="both"/>
        <w:rPr>
          <w:rStyle w:val="s1"/>
          <w:rFonts w:ascii="Verdana" w:hAnsi="Verdana"/>
          <w:color w:val="000000"/>
          <w:sz w:val="20"/>
          <w:szCs w:val="20"/>
        </w:rPr>
      </w:pPr>
      <w:r w:rsidRPr="00F15D60">
        <w:rPr>
          <w:rStyle w:val="s1"/>
          <w:rFonts w:ascii="Verdana" w:hAnsi="Verdana"/>
          <w:color w:val="000000"/>
          <w:sz w:val="20"/>
          <w:szCs w:val="20"/>
        </w:rPr>
        <w:t xml:space="preserve">Con relación a las cifras </w:t>
      </w:r>
      <w:r w:rsidR="00510964" w:rsidRPr="00F15D60">
        <w:rPr>
          <w:rStyle w:val="s1"/>
          <w:rFonts w:ascii="Verdana" w:hAnsi="Verdana"/>
          <w:color w:val="000000"/>
          <w:sz w:val="20"/>
          <w:szCs w:val="20"/>
        </w:rPr>
        <w:t>que se dan</w:t>
      </w:r>
      <w:r w:rsidRPr="00F15D60">
        <w:rPr>
          <w:rStyle w:val="s1"/>
          <w:rFonts w:ascii="Verdana" w:hAnsi="Verdana"/>
          <w:color w:val="000000"/>
          <w:sz w:val="20"/>
          <w:szCs w:val="20"/>
        </w:rPr>
        <w:t xml:space="preserve"> conviene tener en cu</w:t>
      </w:r>
      <w:r w:rsidR="003A3D50">
        <w:rPr>
          <w:rStyle w:val="s1"/>
          <w:rFonts w:ascii="Verdana" w:hAnsi="Verdana"/>
          <w:color w:val="000000"/>
          <w:sz w:val="20"/>
          <w:szCs w:val="20"/>
        </w:rPr>
        <w:t>e</w:t>
      </w:r>
      <w:r w:rsidRPr="00F15D60">
        <w:rPr>
          <w:rStyle w:val="s1"/>
          <w:rFonts w:ascii="Verdana" w:hAnsi="Verdana"/>
          <w:color w:val="000000"/>
          <w:sz w:val="20"/>
          <w:szCs w:val="20"/>
        </w:rPr>
        <w:t>nta que s</w:t>
      </w:r>
      <w:r w:rsidR="008F7E27">
        <w:rPr>
          <w:rStyle w:val="s1"/>
          <w:rFonts w:ascii="Verdana" w:hAnsi="Verdana"/>
          <w:color w:val="000000"/>
          <w:sz w:val="20"/>
          <w:szCs w:val="20"/>
        </w:rPr>
        <w:t>o</w:t>
      </w:r>
      <w:r w:rsidR="00510964" w:rsidRPr="00F15D60">
        <w:rPr>
          <w:rStyle w:val="s1"/>
          <w:rFonts w:ascii="Verdana" w:hAnsi="Verdana"/>
          <w:color w:val="000000"/>
          <w:sz w:val="20"/>
          <w:szCs w:val="20"/>
        </w:rPr>
        <w:t xml:space="preserve">lo analizan el mercado interno, si bien se puede destacar que </w:t>
      </w:r>
      <w:r w:rsidR="008F7E27">
        <w:rPr>
          <w:rStyle w:val="s1"/>
          <w:rFonts w:ascii="Verdana" w:hAnsi="Verdana"/>
          <w:color w:val="000000"/>
          <w:sz w:val="20"/>
          <w:szCs w:val="20"/>
        </w:rPr>
        <w:t>e</w:t>
      </w:r>
      <w:r w:rsidR="00510964" w:rsidRPr="00F15D60">
        <w:rPr>
          <w:rStyle w:val="s1"/>
          <w:rFonts w:ascii="Verdana" w:hAnsi="Verdana"/>
          <w:color w:val="000000"/>
          <w:sz w:val="20"/>
          <w:szCs w:val="20"/>
        </w:rPr>
        <w:t xml:space="preserve">ste ha sido el principal impulsor de la actividad de las empresas TI </w:t>
      </w:r>
      <w:r w:rsidR="00510964" w:rsidRPr="00D80CD2">
        <w:rPr>
          <w:rStyle w:val="s1"/>
          <w:rFonts w:ascii="Verdana" w:hAnsi="Verdana"/>
          <w:color w:val="000000"/>
          <w:sz w:val="20"/>
          <w:szCs w:val="20"/>
        </w:rPr>
        <w:t>radicadas</w:t>
      </w:r>
      <w:r w:rsidR="00510964" w:rsidRPr="00F15D60">
        <w:rPr>
          <w:rStyle w:val="s1"/>
          <w:rFonts w:ascii="Verdana" w:hAnsi="Verdana"/>
          <w:color w:val="000000"/>
          <w:sz w:val="20"/>
          <w:szCs w:val="20"/>
        </w:rPr>
        <w:t xml:space="preserve"> en España a lo largo de 2016.</w:t>
      </w:r>
    </w:p>
    <w:p w14:paraId="12297EA7" w14:textId="77777777" w:rsidR="00510964" w:rsidRPr="00527310" w:rsidRDefault="00510964" w:rsidP="00510964">
      <w:pPr>
        <w:rPr>
          <w:rFonts w:ascii="Verdana" w:hAnsi="Verdana"/>
          <w:b/>
          <w:bCs/>
          <w:sz w:val="20"/>
          <w:szCs w:val="20"/>
        </w:rPr>
      </w:pPr>
    </w:p>
    <w:tbl>
      <w:tblPr>
        <w:tblW w:w="6620" w:type="dxa"/>
        <w:tblInd w:w="939" w:type="dxa"/>
        <w:tblCellMar>
          <w:left w:w="70" w:type="dxa"/>
          <w:right w:w="70" w:type="dxa"/>
        </w:tblCellMar>
        <w:tblLook w:val="04A0" w:firstRow="1" w:lastRow="0" w:firstColumn="1" w:lastColumn="0" w:noHBand="0" w:noVBand="1"/>
      </w:tblPr>
      <w:tblGrid>
        <w:gridCol w:w="1780"/>
        <w:gridCol w:w="1640"/>
        <w:gridCol w:w="1420"/>
        <w:gridCol w:w="1780"/>
      </w:tblGrid>
      <w:tr w:rsidR="00510964" w:rsidRPr="00527310" w14:paraId="4C201DBB" w14:textId="77777777" w:rsidTr="00281AE5">
        <w:trPr>
          <w:trHeight w:val="600"/>
        </w:trPr>
        <w:tc>
          <w:tcPr>
            <w:tcW w:w="1780" w:type="dxa"/>
            <w:tcBorders>
              <w:top w:val="single" w:sz="4" w:space="0" w:color="FFFFFF"/>
              <w:left w:val="single" w:sz="4" w:space="0" w:color="FFFFFF"/>
              <w:bottom w:val="nil"/>
              <w:right w:val="single" w:sz="4" w:space="0" w:color="FFFFFF"/>
            </w:tcBorders>
            <w:shd w:val="clear" w:color="000000" w:fill="0070C0"/>
            <w:noWrap/>
            <w:vAlign w:val="bottom"/>
            <w:hideMark/>
          </w:tcPr>
          <w:p w14:paraId="5CEC7D85" w14:textId="77777777" w:rsidR="00510964" w:rsidRPr="00527310" w:rsidRDefault="00510964" w:rsidP="00281AE5">
            <w:pPr>
              <w:rPr>
                <w:rFonts w:ascii="Verdana" w:hAnsi="Verdana" w:cs="Arial"/>
                <w:color w:val="FFFFFF"/>
                <w:sz w:val="20"/>
                <w:szCs w:val="20"/>
              </w:rPr>
            </w:pPr>
            <w:r w:rsidRPr="00527310">
              <w:rPr>
                <w:rFonts w:ascii="Verdana" w:hAnsi="Verdana" w:cs="Arial"/>
                <w:color w:val="FFFFFF"/>
                <w:sz w:val="20"/>
                <w:szCs w:val="20"/>
              </w:rPr>
              <w:t>Segmento</w:t>
            </w:r>
          </w:p>
        </w:tc>
        <w:tc>
          <w:tcPr>
            <w:tcW w:w="1640" w:type="dxa"/>
            <w:tcBorders>
              <w:top w:val="single" w:sz="4" w:space="0" w:color="FFFFFF"/>
              <w:left w:val="nil"/>
              <w:bottom w:val="single" w:sz="4" w:space="0" w:color="FFFFFF"/>
              <w:right w:val="single" w:sz="4" w:space="0" w:color="FFFFFF"/>
            </w:tcBorders>
            <w:shd w:val="clear" w:color="000000" w:fill="0070C0"/>
            <w:vAlign w:val="center"/>
            <w:hideMark/>
          </w:tcPr>
          <w:p w14:paraId="779841A3" w14:textId="77777777" w:rsidR="00510964" w:rsidRPr="00527310" w:rsidRDefault="00510964" w:rsidP="00281AE5">
            <w:pPr>
              <w:jc w:val="center"/>
              <w:rPr>
                <w:rFonts w:ascii="Verdana" w:hAnsi="Verdana" w:cs="Arial"/>
                <w:color w:val="FFFFFF"/>
                <w:sz w:val="20"/>
                <w:szCs w:val="20"/>
              </w:rPr>
            </w:pPr>
            <w:r w:rsidRPr="00527310">
              <w:rPr>
                <w:rFonts w:ascii="Verdana" w:hAnsi="Verdana" w:cs="Arial"/>
                <w:color w:val="FFFFFF"/>
                <w:sz w:val="20"/>
                <w:szCs w:val="20"/>
              </w:rPr>
              <w:t>Mercado 2015 (En M€)</w:t>
            </w:r>
          </w:p>
        </w:tc>
        <w:tc>
          <w:tcPr>
            <w:tcW w:w="1420" w:type="dxa"/>
            <w:tcBorders>
              <w:top w:val="single" w:sz="4" w:space="0" w:color="FFFFFF"/>
              <w:left w:val="nil"/>
              <w:bottom w:val="nil"/>
              <w:right w:val="single" w:sz="4" w:space="0" w:color="FFFFFF"/>
            </w:tcBorders>
            <w:shd w:val="clear" w:color="000000" w:fill="0070C0"/>
            <w:vAlign w:val="center"/>
            <w:hideMark/>
          </w:tcPr>
          <w:p w14:paraId="271B00C1" w14:textId="77777777" w:rsidR="00510964" w:rsidRPr="00527310" w:rsidRDefault="00510964" w:rsidP="00281AE5">
            <w:pPr>
              <w:jc w:val="center"/>
              <w:rPr>
                <w:rFonts w:ascii="Verdana" w:hAnsi="Verdana" w:cs="Arial"/>
                <w:color w:val="FFFFFF"/>
                <w:sz w:val="20"/>
                <w:szCs w:val="20"/>
              </w:rPr>
            </w:pPr>
            <w:r w:rsidRPr="00527310">
              <w:rPr>
                <w:rFonts w:ascii="Verdana" w:hAnsi="Verdana" w:cs="Arial"/>
                <w:color w:val="FFFFFF"/>
                <w:sz w:val="20"/>
                <w:szCs w:val="20"/>
              </w:rPr>
              <w:t>Crecimiento (En %)</w:t>
            </w:r>
          </w:p>
        </w:tc>
        <w:tc>
          <w:tcPr>
            <w:tcW w:w="1780" w:type="dxa"/>
            <w:tcBorders>
              <w:top w:val="single" w:sz="4" w:space="0" w:color="FFFFFF"/>
              <w:left w:val="nil"/>
              <w:bottom w:val="single" w:sz="4" w:space="0" w:color="FFFFFF"/>
              <w:right w:val="single" w:sz="4" w:space="0" w:color="FFFFFF"/>
            </w:tcBorders>
            <w:shd w:val="clear" w:color="000000" w:fill="0070C0"/>
            <w:vAlign w:val="center"/>
            <w:hideMark/>
          </w:tcPr>
          <w:p w14:paraId="51F8AD60" w14:textId="77777777" w:rsidR="00510964" w:rsidRPr="00527310" w:rsidRDefault="00510964" w:rsidP="00281AE5">
            <w:pPr>
              <w:jc w:val="center"/>
              <w:rPr>
                <w:rFonts w:ascii="Verdana" w:hAnsi="Verdana" w:cs="Arial"/>
                <w:color w:val="FFFFFF"/>
                <w:sz w:val="20"/>
                <w:szCs w:val="20"/>
              </w:rPr>
            </w:pPr>
            <w:r w:rsidRPr="00527310">
              <w:rPr>
                <w:rFonts w:ascii="Verdana" w:hAnsi="Verdana" w:cs="Arial"/>
                <w:color w:val="FFFFFF"/>
                <w:sz w:val="20"/>
                <w:szCs w:val="20"/>
              </w:rPr>
              <w:t>Mercado 2016 (En M€)</w:t>
            </w:r>
          </w:p>
        </w:tc>
      </w:tr>
      <w:tr w:rsidR="00510964" w:rsidRPr="00527310" w14:paraId="63226A69" w14:textId="77777777" w:rsidTr="00281AE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17151" w14:textId="77777777" w:rsidR="00510964" w:rsidRPr="00527310" w:rsidRDefault="00510964" w:rsidP="00281AE5">
            <w:pPr>
              <w:rPr>
                <w:rFonts w:ascii="Verdana" w:hAnsi="Verdana" w:cs="Arial"/>
                <w:sz w:val="20"/>
                <w:szCs w:val="20"/>
              </w:rPr>
            </w:pPr>
            <w:r w:rsidRPr="00527310">
              <w:rPr>
                <w:rFonts w:ascii="Verdana" w:hAnsi="Verdana" w:cs="Arial"/>
                <w:sz w:val="20"/>
                <w:szCs w:val="20"/>
              </w:rPr>
              <w:t>Hardware</w:t>
            </w:r>
          </w:p>
        </w:tc>
        <w:tc>
          <w:tcPr>
            <w:tcW w:w="1640" w:type="dxa"/>
            <w:tcBorders>
              <w:top w:val="nil"/>
              <w:left w:val="nil"/>
              <w:bottom w:val="single" w:sz="4" w:space="0" w:color="auto"/>
              <w:right w:val="single" w:sz="4" w:space="0" w:color="auto"/>
            </w:tcBorders>
            <w:shd w:val="clear" w:color="auto" w:fill="auto"/>
            <w:noWrap/>
            <w:vAlign w:val="bottom"/>
            <w:hideMark/>
          </w:tcPr>
          <w:p w14:paraId="2904F6DC" w14:textId="77777777" w:rsidR="00510964" w:rsidRPr="00527310" w:rsidRDefault="00510964" w:rsidP="00281AE5">
            <w:pPr>
              <w:jc w:val="center"/>
              <w:rPr>
                <w:rFonts w:ascii="Verdana" w:hAnsi="Verdana" w:cs="Arial"/>
                <w:color w:val="974706"/>
                <w:sz w:val="20"/>
                <w:szCs w:val="20"/>
              </w:rPr>
            </w:pPr>
            <w:r w:rsidRPr="00527310">
              <w:rPr>
                <w:rFonts w:ascii="Verdana" w:hAnsi="Verdana" w:cs="Arial"/>
                <w:color w:val="974706"/>
                <w:sz w:val="20"/>
                <w:szCs w:val="20"/>
              </w:rPr>
              <w:t>4.534</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14:paraId="3E7F25DF" w14:textId="77777777" w:rsidR="00510964" w:rsidRPr="00527310" w:rsidRDefault="00510964" w:rsidP="00281AE5">
            <w:pPr>
              <w:jc w:val="right"/>
              <w:rPr>
                <w:rFonts w:ascii="Verdana" w:hAnsi="Verdana" w:cs="Arial"/>
                <w:color w:val="000000"/>
                <w:sz w:val="20"/>
                <w:szCs w:val="20"/>
              </w:rPr>
            </w:pPr>
            <w:r w:rsidRPr="00527310">
              <w:rPr>
                <w:rFonts w:ascii="Verdana" w:hAnsi="Verdana" w:cs="Arial"/>
                <w:color w:val="000000"/>
                <w:sz w:val="20"/>
                <w:szCs w:val="20"/>
              </w:rPr>
              <w:t>-3,4%</w:t>
            </w:r>
          </w:p>
        </w:tc>
        <w:tc>
          <w:tcPr>
            <w:tcW w:w="1780" w:type="dxa"/>
            <w:tcBorders>
              <w:top w:val="nil"/>
              <w:left w:val="nil"/>
              <w:bottom w:val="single" w:sz="4" w:space="0" w:color="auto"/>
              <w:right w:val="single" w:sz="4" w:space="0" w:color="auto"/>
            </w:tcBorders>
            <w:shd w:val="clear" w:color="auto" w:fill="auto"/>
            <w:noWrap/>
            <w:vAlign w:val="bottom"/>
            <w:hideMark/>
          </w:tcPr>
          <w:p w14:paraId="2EDCAE96" w14:textId="77777777" w:rsidR="00510964" w:rsidRPr="00527310" w:rsidRDefault="00510964" w:rsidP="00281AE5">
            <w:pPr>
              <w:jc w:val="center"/>
              <w:rPr>
                <w:rFonts w:ascii="Verdana" w:hAnsi="Verdana" w:cs="Arial"/>
                <w:color w:val="974706"/>
                <w:sz w:val="20"/>
                <w:szCs w:val="20"/>
              </w:rPr>
            </w:pPr>
            <w:r w:rsidRPr="00527310">
              <w:rPr>
                <w:rFonts w:ascii="Verdana" w:hAnsi="Verdana" w:cs="Arial"/>
                <w:color w:val="974706"/>
                <w:sz w:val="20"/>
                <w:szCs w:val="20"/>
              </w:rPr>
              <w:t>4.379</w:t>
            </w:r>
          </w:p>
        </w:tc>
      </w:tr>
      <w:tr w:rsidR="00510964" w:rsidRPr="00527310" w14:paraId="22871B8E" w14:textId="77777777" w:rsidTr="00281AE5">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A5927A5" w14:textId="77777777" w:rsidR="00510964" w:rsidRPr="00527310" w:rsidRDefault="00510964" w:rsidP="00281AE5">
            <w:pPr>
              <w:rPr>
                <w:rFonts w:ascii="Verdana" w:hAnsi="Verdana" w:cs="Arial"/>
                <w:sz w:val="20"/>
                <w:szCs w:val="20"/>
              </w:rPr>
            </w:pPr>
            <w:r w:rsidRPr="00527310">
              <w:rPr>
                <w:rFonts w:ascii="Verdana" w:hAnsi="Verdana" w:cs="Arial"/>
                <w:sz w:val="20"/>
                <w:szCs w:val="20"/>
              </w:rPr>
              <w:t>Software</w:t>
            </w:r>
          </w:p>
        </w:tc>
        <w:tc>
          <w:tcPr>
            <w:tcW w:w="1640" w:type="dxa"/>
            <w:tcBorders>
              <w:top w:val="nil"/>
              <w:left w:val="nil"/>
              <w:bottom w:val="single" w:sz="4" w:space="0" w:color="auto"/>
              <w:right w:val="single" w:sz="4" w:space="0" w:color="auto"/>
            </w:tcBorders>
            <w:shd w:val="clear" w:color="auto" w:fill="auto"/>
            <w:noWrap/>
            <w:vAlign w:val="bottom"/>
            <w:hideMark/>
          </w:tcPr>
          <w:p w14:paraId="0952B531" w14:textId="77777777" w:rsidR="00510964" w:rsidRPr="00527310" w:rsidRDefault="00510964" w:rsidP="00281AE5">
            <w:pPr>
              <w:jc w:val="center"/>
              <w:rPr>
                <w:rFonts w:ascii="Verdana" w:hAnsi="Verdana" w:cs="Arial"/>
                <w:color w:val="974706"/>
                <w:sz w:val="20"/>
                <w:szCs w:val="20"/>
              </w:rPr>
            </w:pPr>
            <w:r w:rsidRPr="00527310">
              <w:rPr>
                <w:rFonts w:ascii="Verdana" w:hAnsi="Verdana" w:cs="Arial"/>
                <w:color w:val="974706"/>
                <w:sz w:val="20"/>
                <w:szCs w:val="20"/>
              </w:rPr>
              <w:t>2.992</w:t>
            </w:r>
          </w:p>
        </w:tc>
        <w:tc>
          <w:tcPr>
            <w:tcW w:w="1420" w:type="dxa"/>
            <w:tcBorders>
              <w:top w:val="nil"/>
              <w:left w:val="nil"/>
              <w:bottom w:val="single" w:sz="4" w:space="0" w:color="000000"/>
              <w:right w:val="single" w:sz="4" w:space="0" w:color="000000"/>
            </w:tcBorders>
            <w:shd w:val="clear" w:color="auto" w:fill="auto"/>
            <w:noWrap/>
            <w:vAlign w:val="bottom"/>
            <w:hideMark/>
          </w:tcPr>
          <w:p w14:paraId="44FDE0E2" w14:textId="77777777" w:rsidR="00510964" w:rsidRPr="00527310" w:rsidRDefault="00510964" w:rsidP="00281AE5">
            <w:pPr>
              <w:jc w:val="right"/>
              <w:rPr>
                <w:rFonts w:ascii="Verdana" w:hAnsi="Verdana" w:cs="Arial"/>
                <w:color w:val="000000"/>
                <w:sz w:val="20"/>
                <w:szCs w:val="20"/>
              </w:rPr>
            </w:pPr>
            <w:r w:rsidRPr="00527310">
              <w:rPr>
                <w:rFonts w:ascii="Verdana" w:hAnsi="Verdana" w:cs="Arial"/>
                <w:color w:val="000000"/>
                <w:sz w:val="20"/>
                <w:szCs w:val="20"/>
              </w:rPr>
              <w:t>3,6%</w:t>
            </w:r>
          </w:p>
        </w:tc>
        <w:tc>
          <w:tcPr>
            <w:tcW w:w="1780" w:type="dxa"/>
            <w:tcBorders>
              <w:top w:val="nil"/>
              <w:left w:val="nil"/>
              <w:bottom w:val="single" w:sz="4" w:space="0" w:color="auto"/>
              <w:right w:val="single" w:sz="4" w:space="0" w:color="auto"/>
            </w:tcBorders>
            <w:shd w:val="clear" w:color="auto" w:fill="auto"/>
            <w:noWrap/>
            <w:vAlign w:val="bottom"/>
            <w:hideMark/>
          </w:tcPr>
          <w:p w14:paraId="5AA90DE6" w14:textId="77777777" w:rsidR="00510964" w:rsidRPr="00527310" w:rsidRDefault="00510964" w:rsidP="00281AE5">
            <w:pPr>
              <w:jc w:val="center"/>
              <w:rPr>
                <w:rFonts w:ascii="Verdana" w:hAnsi="Verdana" w:cs="Arial"/>
                <w:color w:val="974706"/>
                <w:sz w:val="20"/>
                <w:szCs w:val="20"/>
              </w:rPr>
            </w:pPr>
            <w:r w:rsidRPr="00527310">
              <w:rPr>
                <w:rFonts w:ascii="Verdana" w:hAnsi="Verdana" w:cs="Arial"/>
                <w:color w:val="974706"/>
                <w:sz w:val="20"/>
                <w:szCs w:val="20"/>
              </w:rPr>
              <w:t>3.099</w:t>
            </w:r>
          </w:p>
        </w:tc>
      </w:tr>
      <w:tr w:rsidR="00510964" w:rsidRPr="00527310" w14:paraId="79229A15" w14:textId="77777777" w:rsidTr="00281AE5">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438D8C0" w14:textId="77777777" w:rsidR="00510964" w:rsidRPr="00527310" w:rsidRDefault="00510964" w:rsidP="00281AE5">
            <w:pPr>
              <w:rPr>
                <w:rFonts w:ascii="Verdana" w:hAnsi="Verdana" w:cs="Arial"/>
                <w:sz w:val="20"/>
                <w:szCs w:val="20"/>
              </w:rPr>
            </w:pPr>
            <w:r w:rsidRPr="00527310">
              <w:rPr>
                <w:rFonts w:ascii="Verdana" w:hAnsi="Verdana" w:cs="Arial"/>
                <w:sz w:val="20"/>
                <w:szCs w:val="20"/>
              </w:rPr>
              <w:t>Servicios TI</w:t>
            </w:r>
          </w:p>
        </w:tc>
        <w:tc>
          <w:tcPr>
            <w:tcW w:w="1640" w:type="dxa"/>
            <w:tcBorders>
              <w:top w:val="nil"/>
              <w:left w:val="nil"/>
              <w:bottom w:val="single" w:sz="4" w:space="0" w:color="auto"/>
              <w:right w:val="single" w:sz="4" w:space="0" w:color="auto"/>
            </w:tcBorders>
            <w:shd w:val="clear" w:color="auto" w:fill="auto"/>
            <w:noWrap/>
            <w:vAlign w:val="bottom"/>
            <w:hideMark/>
          </w:tcPr>
          <w:p w14:paraId="03E00024" w14:textId="77777777" w:rsidR="00510964" w:rsidRPr="00527310" w:rsidRDefault="00510964" w:rsidP="00281AE5">
            <w:pPr>
              <w:jc w:val="center"/>
              <w:rPr>
                <w:rFonts w:ascii="Verdana" w:hAnsi="Verdana" w:cs="Arial"/>
                <w:color w:val="974706"/>
                <w:sz w:val="20"/>
                <w:szCs w:val="20"/>
              </w:rPr>
            </w:pPr>
            <w:r w:rsidRPr="00527310">
              <w:rPr>
                <w:rFonts w:ascii="Verdana" w:hAnsi="Verdana" w:cs="Arial"/>
                <w:color w:val="974706"/>
                <w:sz w:val="20"/>
                <w:szCs w:val="20"/>
              </w:rPr>
              <w:t>15.168</w:t>
            </w:r>
          </w:p>
        </w:tc>
        <w:tc>
          <w:tcPr>
            <w:tcW w:w="1420" w:type="dxa"/>
            <w:tcBorders>
              <w:top w:val="nil"/>
              <w:left w:val="nil"/>
              <w:bottom w:val="single" w:sz="4" w:space="0" w:color="000000"/>
              <w:right w:val="single" w:sz="4" w:space="0" w:color="000000"/>
            </w:tcBorders>
            <w:shd w:val="clear" w:color="auto" w:fill="auto"/>
            <w:noWrap/>
            <w:vAlign w:val="bottom"/>
            <w:hideMark/>
          </w:tcPr>
          <w:p w14:paraId="43721602" w14:textId="77777777" w:rsidR="00510964" w:rsidRPr="00527310" w:rsidRDefault="00510964" w:rsidP="00281AE5">
            <w:pPr>
              <w:jc w:val="right"/>
              <w:rPr>
                <w:rFonts w:ascii="Verdana" w:hAnsi="Verdana" w:cs="Arial"/>
                <w:color w:val="000000"/>
                <w:sz w:val="20"/>
                <w:szCs w:val="20"/>
              </w:rPr>
            </w:pPr>
            <w:r w:rsidRPr="00527310">
              <w:rPr>
                <w:rFonts w:ascii="Verdana" w:hAnsi="Verdana" w:cs="Arial"/>
                <w:color w:val="000000"/>
                <w:sz w:val="20"/>
                <w:szCs w:val="20"/>
              </w:rPr>
              <w:t>5,2%</w:t>
            </w:r>
          </w:p>
        </w:tc>
        <w:tc>
          <w:tcPr>
            <w:tcW w:w="1780" w:type="dxa"/>
            <w:tcBorders>
              <w:top w:val="nil"/>
              <w:left w:val="nil"/>
              <w:bottom w:val="single" w:sz="4" w:space="0" w:color="auto"/>
              <w:right w:val="single" w:sz="4" w:space="0" w:color="auto"/>
            </w:tcBorders>
            <w:shd w:val="clear" w:color="auto" w:fill="auto"/>
            <w:noWrap/>
            <w:vAlign w:val="bottom"/>
            <w:hideMark/>
          </w:tcPr>
          <w:p w14:paraId="0AC315A9" w14:textId="77777777" w:rsidR="00510964" w:rsidRPr="00527310" w:rsidRDefault="00510964" w:rsidP="00281AE5">
            <w:pPr>
              <w:jc w:val="center"/>
              <w:rPr>
                <w:rFonts w:ascii="Verdana" w:hAnsi="Verdana" w:cs="Arial"/>
                <w:color w:val="974706"/>
                <w:sz w:val="20"/>
                <w:szCs w:val="20"/>
              </w:rPr>
            </w:pPr>
            <w:r w:rsidRPr="00527310">
              <w:rPr>
                <w:rFonts w:ascii="Verdana" w:hAnsi="Verdana" w:cs="Arial"/>
                <w:color w:val="974706"/>
                <w:sz w:val="20"/>
                <w:szCs w:val="20"/>
              </w:rPr>
              <w:t>15.963</w:t>
            </w:r>
          </w:p>
        </w:tc>
      </w:tr>
      <w:tr w:rsidR="00510964" w:rsidRPr="00527310" w14:paraId="2B63AC13" w14:textId="77777777" w:rsidTr="00281AE5">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F7DFF7B" w14:textId="77777777" w:rsidR="00510964" w:rsidRPr="00527310" w:rsidRDefault="00510964" w:rsidP="00281AE5">
            <w:pPr>
              <w:jc w:val="right"/>
              <w:rPr>
                <w:rFonts w:ascii="Verdana" w:hAnsi="Verdana" w:cs="Arial"/>
                <w:b/>
                <w:bCs/>
                <w:sz w:val="20"/>
                <w:szCs w:val="20"/>
              </w:rPr>
            </w:pPr>
            <w:r w:rsidRPr="00527310">
              <w:rPr>
                <w:rFonts w:ascii="Verdana" w:hAnsi="Verdana" w:cs="Arial"/>
                <w:b/>
                <w:bCs/>
                <w:sz w:val="20"/>
                <w:szCs w:val="20"/>
              </w:rPr>
              <w:t>Total TI</w:t>
            </w:r>
          </w:p>
        </w:tc>
        <w:tc>
          <w:tcPr>
            <w:tcW w:w="1640" w:type="dxa"/>
            <w:tcBorders>
              <w:top w:val="nil"/>
              <w:left w:val="nil"/>
              <w:bottom w:val="single" w:sz="4" w:space="0" w:color="auto"/>
              <w:right w:val="single" w:sz="4" w:space="0" w:color="auto"/>
            </w:tcBorders>
            <w:shd w:val="clear" w:color="auto" w:fill="auto"/>
            <w:noWrap/>
            <w:vAlign w:val="bottom"/>
            <w:hideMark/>
          </w:tcPr>
          <w:p w14:paraId="5FBEE23B" w14:textId="77777777" w:rsidR="00510964" w:rsidRPr="00527310" w:rsidRDefault="00510964" w:rsidP="00281AE5">
            <w:pPr>
              <w:jc w:val="center"/>
              <w:rPr>
                <w:rFonts w:ascii="Verdana" w:hAnsi="Verdana" w:cs="Arial"/>
                <w:b/>
                <w:bCs/>
                <w:color w:val="974706"/>
                <w:sz w:val="20"/>
                <w:szCs w:val="20"/>
              </w:rPr>
            </w:pPr>
            <w:r w:rsidRPr="00527310">
              <w:rPr>
                <w:rFonts w:ascii="Verdana" w:hAnsi="Verdana" w:cs="Arial"/>
                <w:b/>
                <w:bCs/>
                <w:color w:val="974706"/>
                <w:sz w:val="20"/>
                <w:szCs w:val="20"/>
              </w:rPr>
              <w:t>22.694</w:t>
            </w:r>
          </w:p>
        </w:tc>
        <w:tc>
          <w:tcPr>
            <w:tcW w:w="1420" w:type="dxa"/>
            <w:tcBorders>
              <w:top w:val="nil"/>
              <w:left w:val="nil"/>
              <w:bottom w:val="single" w:sz="4" w:space="0" w:color="000000"/>
              <w:right w:val="single" w:sz="4" w:space="0" w:color="000000"/>
            </w:tcBorders>
            <w:shd w:val="clear" w:color="auto" w:fill="auto"/>
            <w:noWrap/>
            <w:vAlign w:val="bottom"/>
            <w:hideMark/>
          </w:tcPr>
          <w:p w14:paraId="38F9D564" w14:textId="77777777" w:rsidR="00510964" w:rsidRPr="00527310" w:rsidRDefault="00510964" w:rsidP="00281AE5">
            <w:pPr>
              <w:jc w:val="right"/>
              <w:rPr>
                <w:rFonts w:ascii="Verdana" w:hAnsi="Verdana" w:cs="Arial"/>
                <w:b/>
                <w:bCs/>
                <w:color w:val="000000"/>
                <w:sz w:val="20"/>
                <w:szCs w:val="20"/>
              </w:rPr>
            </w:pPr>
            <w:r w:rsidRPr="00527310">
              <w:rPr>
                <w:rFonts w:ascii="Verdana" w:hAnsi="Verdana" w:cs="Arial"/>
                <w:b/>
                <w:bCs/>
                <w:color w:val="000000"/>
                <w:sz w:val="20"/>
                <w:szCs w:val="20"/>
              </w:rPr>
              <w:t>3,3%</w:t>
            </w:r>
          </w:p>
        </w:tc>
        <w:tc>
          <w:tcPr>
            <w:tcW w:w="1780" w:type="dxa"/>
            <w:tcBorders>
              <w:top w:val="nil"/>
              <w:left w:val="nil"/>
              <w:bottom w:val="single" w:sz="4" w:space="0" w:color="auto"/>
              <w:right w:val="single" w:sz="4" w:space="0" w:color="auto"/>
            </w:tcBorders>
            <w:shd w:val="clear" w:color="auto" w:fill="auto"/>
            <w:noWrap/>
            <w:vAlign w:val="bottom"/>
            <w:hideMark/>
          </w:tcPr>
          <w:p w14:paraId="637C1CA4" w14:textId="77777777" w:rsidR="00510964" w:rsidRPr="00527310" w:rsidRDefault="00510964" w:rsidP="00281AE5">
            <w:pPr>
              <w:jc w:val="center"/>
              <w:rPr>
                <w:rFonts w:ascii="Verdana" w:hAnsi="Verdana" w:cs="Arial"/>
                <w:b/>
                <w:bCs/>
                <w:color w:val="974706"/>
                <w:sz w:val="20"/>
                <w:szCs w:val="20"/>
              </w:rPr>
            </w:pPr>
            <w:r w:rsidRPr="00527310">
              <w:rPr>
                <w:rFonts w:ascii="Verdana" w:hAnsi="Verdana" w:cs="Arial"/>
                <w:b/>
                <w:bCs/>
                <w:color w:val="974706"/>
                <w:sz w:val="20"/>
                <w:szCs w:val="20"/>
              </w:rPr>
              <w:t>23.441</w:t>
            </w:r>
          </w:p>
        </w:tc>
      </w:tr>
      <w:tr w:rsidR="00510964" w:rsidRPr="00527310" w14:paraId="0A6CA4C5" w14:textId="77777777" w:rsidTr="00281AE5">
        <w:trPr>
          <w:trHeight w:val="180"/>
        </w:trPr>
        <w:tc>
          <w:tcPr>
            <w:tcW w:w="1780" w:type="dxa"/>
            <w:tcBorders>
              <w:top w:val="nil"/>
              <w:left w:val="nil"/>
              <w:bottom w:val="single" w:sz="4" w:space="0" w:color="auto"/>
              <w:right w:val="nil"/>
            </w:tcBorders>
            <w:shd w:val="clear" w:color="auto" w:fill="auto"/>
            <w:noWrap/>
            <w:vAlign w:val="bottom"/>
            <w:hideMark/>
          </w:tcPr>
          <w:p w14:paraId="29CD2F58" w14:textId="77777777" w:rsidR="00510964" w:rsidRPr="00527310" w:rsidRDefault="00510964" w:rsidP="00281AE5">
            <w:pPr>
              <w:jc w:val="center"/>
              <w:rPr>
                <w:rFonts w:ascii="Verdana" w:hAnsi="Verdana" w:cs="Arial"/>
                <w:b/>
                <w:bCs/>
                <w:color w:val="974706"/>
                <w:sz w:val="20"/>
                <w:szCs w:val="20"/>
              </w:rPr>
            </w:pPr>
          </w:p>
        </w:tc>
        <w:tc>
          <w:tcPr>
            <w:tcW w:w="1640" w:type="dxa"/>
            <w:tcBorders>
              <w:top w:val="nil"/>
              <w:left w:val="nil"/>
              <w:bottom w:val="nil"/>
              <w:right w:val="nil"/>
            </w:tcBorders>
            <w:shd w:val="clear" w:color="auto" w:fill="auto"/>
            <w:noWrap/>
            <w:vAlign w:val="bottom"/>
            <w:hideMark/>
          </w:tcPr>
          <w:p w14:paraId="3F9DFFA9" w14:textId="77777777" w:rsidR="00510964" w:rsidRPr="00527310" w:rsidRDefault="00510964" w:rsidP="00281AE5">
            <w:pPr>
              <w:rPr>
                <w:rFonts w:ascii="Verdana" w:hAnsi="Verdana"/>
                <w:sz w:val="20"/>
                <w:szCs w:val="20"/>
              </w:rPr>
            </w:pPr>
          </w:p>
        </w:tc>
        <w:tc>
          <w:tcPr>
            <w:tcW w:w="1420" w:type="dxa"/>
            <w:tcBorders>
              <w:top w:val="nil"/>
              <w:left w:val="nil"/>
              <w:bottom w:val="nil"/>
              <w:right w:val="nil"/>
            </w:tcBorders>
            <w:shd w:val="clear" w:color="auto" w:fill="auto"/>
            <w:noWrap/>
            <w:vAlign w:val="bottom"/>
            <w:hideMark/>
          </w:tcPr>
          <w:p w14:paraId="2B65D52E" w14:textId="77777777" w:rsidR="00510964" w:rsidRPr="00527310" w:rsidRDefault="00510964" w:rsidP="00281AE5">
            <w:pPr>
              <w:rPr>
                <w:rFonts w:ascii="Verdana" w:hAnsi="Verdana"/>
                <w:sz w:val="20"/>
                <w:szCs w:val="20"/>
              </w:rPr>
            </w:pPr>
          </w:p>
        </w:tc>
        <w:tc>
          <w:tcPr>
            <w:tcW w:w="1780" w:type="dxa"/>
            <w:tcBorders>
              <w:top w:val="nil"/>
              <w:left w:val="nil"/>
              <w:bottom w:val="nil"/>
              <w:right w:val="nil"/>
            </w:tcBorders>
            <w:shd w:val="clear" w:color="auto" w:fill="auto"/>
            <w:noWrap/>
            <w:vAlign w:val="bottom"/>
            <w:hideMark/>
          </w:tcPr>
          <w:p w14:paraId="7CB016EE" w14:textId="77777777" w:rsidR="00510964" w:rsidRPr="00527310" w:rsidRDefault="00510964" w:rsidP="00281AE5">
            <w:pPr>
              <w:rPr>
                <w:rFonts w:ascii="Verdana" w:hAnsi="Verdana"/>
                <w:sz w:val="20"/>
                <w:szCs w:val="20"/>
              </w:rPr>
            </w:pPr>
          </w:p>
        </w:tc>
      </w:tr>
      <w:tr w:rsidR="00510964" w:rsidRPr="00527310" w14:paraId="6F384101" w14:textId="77777777" w:rsidTr="00281AE5">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4F9DA3C" w14:textId="77777777" w:rsidR="00510964" w:rsidRPr="00527310" w:rsidRDefault="00510964" w:rsidP="00281AE5">
            <w:pPr>
              <w:rPr>
                <w:rFonts w:ascii="Verdana" w:hAnsi="Verdana" w:cs="Arial"/>
                <w:b/>
                <w:bCs/>
                <w:color w:val="FFFFFF"/>
                <w:sz w:val="20"/>
                <w:szCs w:val="20"/>
              </w:rPr>
            </w:pPr>
            <w:r w:rsidRPr="00527310">
              <w:rPr>
                <w:rFonts w:ascii="Verdana" w:hAnsi="Verdana" w:cs="Arial"/>
                <w:b/>
                <w:bCs/>
                <w:color w:val="FFFFFF"/>
                <w:sz w:val="20"/>
                <w:szCs w:val="20"/>
              </w:rPr>
              <w:t>Empleo</w:t>
            </w:r>
          </w:p>
        </w:tc>
        <w:tc>
          <w:tcPr>
            <w:tcW w:w="1640" w:type="dxa"/>
            <w:tcBorders>
              <w:top w:val="single" w:sz="4" w:space="0" w:color="366092"/>
              <w:left w:val="single" w:sz="4" w:space="0" w:color="auto"/>
              <w:bottom w:val="single" w:sz="4" w:space="0" w:color="366092"/>
              <w:right w:val="nil"/>
            </w:tcBorders>
            <w:shd w:val="clear" w:color="auto" w:fill="auto"/>
            <w:noWrap/>
            <w:vAlign w:val="bottom"/>
            <w:hideMark/>
          </w:tcPr>
          <w:p w14:paraId="0035D9E9" w14:textId="77777777" w:rsidR="00510964" w:rsidRPr="00527310" w:rsidRDefault="00510964" w:rsidP="00281AE5">
            <w:pPr>
              <w:rPr>
                <w:rFonts w:ascii="Verdana" w:hAnsi="Verdana" w:cs="Arial"/>
                <w:sz w:val="20"/>
                <w:szCs w:val="20"/>
              </w:rPr>
            </w:pPr>
            <w:r w:rsidRPr="00527310">
              <w:rPr>
                <w:rFonts w:ascii="Verdana" w:hAnsi="Verdana" w:cs="Arial"/>
                <w:sz w:val="20"/>
                <w:szCs w:val="20"/>
              </w:rPr>
              <w:t> </w:t>
            </w:r>
          </w:p>
        </w:tc>
        <w:tc>
          <w:tcPr>
            <w:tcW w:w="1420" w:type="dxa"/>
            <w:tcBorders>
              <w:top w:val="single" w:sz="4" w:space="0" w:color="366092"/>
              <w:left w:val="nil"/>
              <w:bottom w:val="single" w:sz="4" w:space="0" w:color="366092"/>
              <w:right w:val="nil"/>
            </w:tcBorders>
            <w:shd w:val="clear" w:color="auto" w:fill="auto"/>
            <w:noWrap/>
            <w:vAlign w:val="bottom"/>
            <w:hideMark/>
          </w:tcPr>
          <w:p w14:paraId="2CF57645" w14:textId="77777777" w:rsidR="00510964" w:rsidRPr="00527310" w:rsidRDefault="00510964" w:rsidP="00281AE5">
            <w:pPr>
              <w:jc w:val="right"/>
              <w:rPr>
                <w:rFonts w:ascii="Verdana" w:hAnsi="Verdana" w:cs="Arial"/>
                <w:b/>
                <w:bCs/>
                <w:color w:val="000000"/>
                <w:sz w:val="20"/>
                <w:szCs w:val="20"/>
              </w:rPr>
            </w:pPr>
            <w:r w:rsidRPr="00527310">
              <w:rPr>
                <w:rFonts w:ascii="Verdana" w:hAnsi="Verdana" w:cs="Arial"/>
                <w:b/>
                <w:bCs/>
                <w:color w:val="000000"/>
                <w:sz w:val="20"/>
                <w:szCs w:val="20"/>
              </w:rPr>
              <w:t>2,8%</w:t>
            </w:r>
          </w:p>
        </w:tc>
        <w:tc>
          <w:tcPr>
            <w:tcW w:w="1780" w:type="dxa"/>
            <w:tcBorders>
              <w:top w:val="single" w:sz="4" w:space="0" w:color="366092"/>
              <w:left w:val="nil"/>
              <w:bottom w:val="single" w:sz="4" w:space="0" w:color="366092"/>
              <w:right w:val="single" w:sz="4" w:space="0" w:color="366092"/>
            </w:tcBorders>
            <w:shd w:val="clear" w:color="auto" w:fill="auto"/>
            <w:noWrap/>
            <w:vAlign w:val="bottom"/>
            <w:hideMark/>
          </w:tcPr>
          <w:p w14:paraId="5FC6F880" w14:textId="77777777" w:rsidR="00510964" w:rsidRPr="00527310" w:rsidRDefault="00510964" w:rsidP="00281AE5">
            <w:pPr>
              <w:rPr>
                <w:rFonts w:ascii="Verdana" w:hAnsi="Verdana" w:cs="Arial"/>
                <w:sz w:val="20"/>
                <w:szCs w:val="20"/>
              </w:rPr>
            </w:pPr>
            <w:r w:rsidRPr="00527310">
              <w:rPr>
                <w:rFonts w:ascii="Verdana" w:hAnsi="Verdana" w:cs="Arial"/>
                <w:sz w:val="20"/>
                <w:szCs w:val="20"/>
              </w:rPr>
              <w:t> </w:t>
            </w:r>
          </w:p>
        </w:tc>
      </w:tr>
    </w:tbl>
    <w:p w14:paraId="5C22C2E4" w14:textId="77777777" w:rsidR="00510964" w:rsidRPr="00527310" w:rsidRDefault="00510964" w:rsidP="00510964">
      <w:pPr>
        <w:rPr>
          <w:rFonts w:ascii="Verdana" w:hAnsi="Verdana"/>
          <w:b/>
          <w:bCs/>
          <w:sz w:val="20"/>
          <w:szCs w:val="20"/>
        </w:rPr>
      </w:pPr>
    </w:p>
    <w:p w14:paraId="3C9B84A9" w14:textId="77777777" w:rsidR="00510964" w:rsidRPr="00F15D60" w:rsidRDefault="00510964" w:rsidP="00510964">
      <w:pPr>
        <w:rPr>
          <w:rFonts w:ascii="Verdana" w:hAnsi="Verdana"/>
          <w:b/>
          <w:bCs/>
          <w:sz w:val="20"/>
          <w:szCs w:val="20"/>
          <w:u w:val="single"/>
        </w:rPr>
      </w:pPr>
    </w:p>
    <w:p w14:paraId="353D2D73" w14:textId="77777777" w:rsidR="00510964" w:rsidRPr="00F15D60" w:rsidRDefault="00D97F10" w:rsidP="00510964">
      <w:pPr>
        <w:rPr>
          <w:rFonts w:ascii="Verdana" w:hAnsi="Verdana"/>
          <w:b/>
          <w:bCs/>
          <w:sz w:val="20"/>
          <w:szCs w:val="20"/>
          <w:u w:val="single"/>
        </w:rPr>
      </w:pPr>
      <w:r w:rsidRPr="00F15D60">
        <w:rPr>
          <w:rFonts w:ascii="Verdana" w:hAnsi="Verdana"/>
          <w:b/>
          <w:bCs/>
          <w:sz w:val="20"/>
          <w:szCs w:val="20"/>
          <w:u w:val="single"/>
        </w:rPr>
        <w:t>Análisis por segmentos</w:t>
      </w:r>
    </w:p>
    <w:p w14:paraId="07055764" w14:textId="77777777" w:rsidR="00510964" w:rsidRPr="00527310" w:rsidRDefault="00510964" w:rsidP="00510964">
      <w:pPr>
        <w:rPr>
          <w:rFonts w:ascii="Verdana" w:hAnsi="Verdana"/>
          <w:b/>
          <w:bCs/>
          <w:sz w:val="20"/>
          <w:szCs w:val="20"/>
        </w:rPr>
      </w:pPr>
    </w:p>
    <w:p w14:paraId="72F65D29" w14:textId="77777777" w:rsidR="00D97F10" w:rsidRPr="00527310" w:rsidRDefault="006A3505" w:rsidP="00510964">
      <w:pPr>
        <w:rPr>
          <w:rFonts w:ascii="Verdana" w:hAnsi="Verdana"/>
          <w:b/>
          <w:bCs/>
          <w:sz w:val="20"/>
          <w:szCs w:val="20"/>
        </w:rPr>
      </w:pPr>
      <w:r w:rsidRPr="00527310">
        <w:rPr>
          <w:rFonts w:ascii="Verdana" w:hAnsi="Verdana"/>
          <w:b/>
          <w:bCs/>
          <w:sz w:val="20"/>
          <w:szCs w:val="20"/>
        </w:rPr>
        <w:t>HARDWARE</w:t>
      </w:r>
    </w:p>
    <w:p w14:paraId="7060D2D2" w14:textId="5FF19802" w:rsidR="00510964" w:rsidRPr="00527310" w:rsidRDefault="00510964" w:rsidP="00D97F10">
      <w:pPr>
        <w:jc w:val="both"/>
        <w:rPr>
          <w:rFonts w:ascii="Verdana" w:hAnsi="Verdana"/>
          <w:sz w:val="20"/>
          <w:szCs w:val="20"/>
        </w:rPr>
      </w:pPr>
      <w:r w:rsidRPr="00527310">
        <w:rPr>
          <w:rFonts w:ascii="Verdana" w:hAnsi="Verdana"/>
          <w:sz w:val="20"/>
          <w:szCs w:val="20"/>
        </w:rPr>
        <w:t>La evoluc</w:t>
      </w:r>
      <w:r w:rsidR="008E56D7">
        <w:rPr>
          <w:rFonts w:ascii="Verdana" w:hAnsi="Verdana"/>
          <w:sz w:val="20"/>
          <w:szCs w:val="20"/>
        </w:rPr>
        <w:t>ión a la baja del segmento del H</w:t>
      </w:r>
      <w:r w:rsidRPr="00527310">
        <w:rPr>
          <w:rFonts w:ascii="Verdana" w:hAnsi="Verdana"/>
          <w:sz w:val="20"/>
          <w:szCs w:val="20"/>
        </w:rPr>
        <w:t>ardware se ha visto afectada por el importante repunte registrado en el año anterior que no ha tenido continuidad en 2016. Los incipientes proyectos de renovación del parque tecnológico obsoleto de nuestro país en 2015 se han visto sustituidos en 2016 por un alargamiento de la vida en activo del equipamiento TI, acompañada de más tareas de mantenimiento (Servicios TI)</w:t>
      </w:r>
      <w:r w:rsidR="00D97F10" w:rsidRPr="00527310">
        <w:rPr>
          <w:rFonts w:ascii="Verdana" w:hAnsi="Verdana"/>
          <w:sz w:val="20"/>
          <w:szCs w:val="20"/>
        </w:rPr>
        <w:t>.</w:t>
      </w:r>
    </w:p>
    <w:p w14:paraId="4D84B5E7" w14:textId="77777777" w:rsidR="00510964" w:rsidRPr="00527310" w:rsidRDefault="00510964" w:rsidP="00510964">
      <w:pPr>
        <w:pStyle w:val="Prrafodelista"/>
        <w:jc w:val="both"/>
        <w:rPr>
          <w:rFonts w:ascii="Verdana" w:hAnsi="Verdana"/>
          <w:color w:val="1F497D"/>
          <w:sz w:val="20"/>
          <w:szCs w:val="20"/>
        </w:rPr>
      </w:pPr>
    </w:p>
    <w:p w14:paraId="7743433E" w14:textId="77777777" w:rsidR="00510964" w:rsidRPr="00527310" w:rsidRDefault="00510964" w:rsidP="00D97F10">
      <w:pPr>
        <w:jc w:val="both"/>
        <w:rPr>
          <w:rFonts w:ascii="Verdana" w:hAnsi="Verdana"/>
          <w:color w:val="1F497D"/>
          <w:sz w:val="20"/>
          <w:szCs w:val="20"/>
        </w:rPr>
      </w:pPr>
      <w:r w:rsidRPr="00527310">
        <w:rPr>
          <w:rFonts w:ascii="Verdana" w:hAnsi="Verdana"/>
          <w:sz w:val="20"/>
          <w:szCs w:val="20"/>
        </w:rPr>
        <w:t>También han contribuido a esta bajada de forma notoria el movimiento hacia soluciones basadas en cloud, así como las crecientes funcionalidades y capacidades de otros dispositivos no puramente del ámbito de las TI (</w:t>
      </w:r>
      <w:r w:rsidRPr="00527310">
        <w:rPr>
          <w:rFonts w:ascii="Verdana" w:hAnsi="Verdana"/>
          <w:i/>
          <w:sz w:val="20"/>
          <w:szCs w:val="20"/>
        </w:rPr>
        <w:t>smartphones</w:t>
      </w:r>
      <w:r w:rsidRPr="00527310">
        <w:rPr>
          <w:rFonts w:ascii="Verdana" w:hAnsi="Verdana"/>
          <w:sz w:val="20"/>
          <w:szCs w:val="20"/>
        </w:rPr>
        <w:t xml:space="preserve">). </w:t>
      </w:r>
    </w:p>
    <w:p w14:paraId="6A77AA0A" w14:textId="77777777" w:rsidR="00510964" w:rsidRPr="00527310" w:rsidRDefault="00510964" w:rsidP="00510964">
      <w:pPr>
        <w:pStyle w:val="Prrafodelista"/>
        <w:rPr>
          <w:rFonts w:ascii="Verdana" w:hAnsi="Verdana"/>
          <w:sz w:val="20"/>
          <w:szCs w:val="20"/>
        </w:rPr>
      </w:pPr>
    </w:p>
    <w:p w14:paraId="0BC3400A" w14:textId="77777777" w:rsidR="00510964" w:rsidRPr="00527310" w:rsidRDefault="00510964" w:rsidP="00D97F10">
      <w:pPr>
        <w:jc w:val="both"/>
        <w:rPr>
          <w:rFonts w:ascii="Verdana" w:hAnsi="Verdana"/>
          <w:color w:val="1F497D"/>
          <w:sz w:val="20"/>
          <w:szCs w:val="20"/>
        </w:rPr>
      </w:pPr>
      <w:r w:rsidRPr="00527310">
        <w:rPr>
          <w:rFonts w:ascii="Verdana" w:hAnsi="Verdana"/>
          <w:sz w:val="20"/>
          <w:szCs w:val="20"/>
        </w:rPr>
        <w:t>Por tipo de equipo, los PC e impresoras se encuentran entre los que mayor descenso de ventas han registrado, destacando nuevamente en sentido contrario las soluciones de equipamiento orientadas a entornos de movilidad.</w:t>
      </w:r>
      <w:r w:rsidR="00F15D60">
        <w:rPr>
          <w:rFonts w:ascii="Verdana" w:hAnsi="Verdana"/>
          <w:sz w:val="20"/>
          <w:szCs w:val="20"/>
        </w:rPr>
        <w:t xml:space="preserve"> </w:t>
      </w:r>
    </w:p>
    <w:p w14:paraId="5C7C8384" w14:textId="77777777" w:rsidR="00510964" w:rsidRPr="00527310" w:rsidRDefault="00510964" w:rsidP="00510964">
      <w:pPr>
        <w:pStyle w:val="Prrafodelista"/>
        <w:rPr>
          <w:rFonts w:ascii="Verdana" w:hAnsi="Verdana"/>
          <w:sz w:val="20"/>
          <w:szCs w:val="20"/>
        </w:rPr>
      </w:pPr>
    </w:p>
    <w:p w14:paraId="2FCE4E86" w14:textId="77777777" w:rsidR="00510964" w:rsidRPr="00527310" w:rsidRDefault="00510964" w:rsidP="00D97F10">
      <w:pPr>
        <w:jc w:val="both"/>
        <w:rPr>
          <w:rFonts w:ascii="Verdana" w:hAnsi="Verdana"/>
          <w:color w:val="1F497D"/>
          <w:sz w:val="20"/>
          <w:szCs w:val="20"/>
        </w:rPr>
      </w:pPr>
      <w:r w:rsidRPr="00527310">
        <w:rPr>
          <w:rFonts w:ascii="Verdana" w:hAnsi="Verdana"/>
          <w:sz w:val="20"/>
          <w:szCs w:val="20"/>
        </w:rPr>
        <w:lastRenderedPageBreak/>
        <w:t>Por sectores usuarios, todos han disminuido su inversión en equipamiento TI. Con una caída suave en lo que respecta al consumo por la ciudadanía y las empresas y muy acusada en cuanto al sector público.</w:t>
      </w:r>
    </w:p>
    <w:p w14:paraId="18A72FEB" w14:textId="77777777" w:rsidR="00510964" w:rsidRPr="00527310" w:rsidRDefault="00510964" w:rsidP="00F15D60">
      <w:pPr>
        <w:pStyle w:val="Prrafodelista"/>
        <w:jc w:val="both"/>
        <w:rPr>
          <w:rFonts w:ascii="Verdana" w:hAnsi="Verdana"/>
          <w:sz w:val="20"/>
          <w:szCs w:val="20"/>
        </w:rPr>
      </w:pPr>
    </w:p>
    <w:p w14:paraId="60E5F78D" w14:textId="77777777" w:rsidR="00510964" w:rsidRPr="00527310" w:rsidRDefault="006A3505" w:rsidP="00F15D60">
      <w:pPr>
        <w:jc w:val="both"/>
        <w:rPr>
          <w:rFonts w:ascii="Verdana" w:hAnsi="Verdana"/>
          <w:b/>
          <w:bCs/>
          <w:sz w:val="20"/>
          <w:szCs w:val="20"/>
        </w:rPr>
      </w:pPr>
      <w:r w:rsidRPr="00527310">
        <w:rPr>
          <w:rFonts w:ascii="Verdana" w:hAnsi="Verdana"/>
          <w:b/>
          <w:bCs/>
          <w:sz w:val="20"/>
          <w:szCs w:val="20"/>
        </w:rPr>
        <w:t>SOFTWARE</w:t>
      </w:r>
    </w:p>
    <w:p w14:paraId="7156CA5D" w14:textId="52617292" w:rsidR="00510964" w:rsidRPr="00527310" w:rsidRDefault="00510964" w:rsidP="00F15D60">
      <w:pPr>
        <w:jc w:val="both"/>
        <w:rPr>
          <w:rFonts w:ascii="Verdana" w:hAnsi="Verdana"/>
          <w:sz w:val="20"/>
          <w:szCs w:val="20"/>
        </w:rPr>
      </w:pPr>
      <w:r w:rsidRPr="00527310">
        <w:rPr>
          <w:rFonts w:ascii="Verdana" w:hAnsi="Verdana"/>
          <w:sz w:val="20"/>
          <w:szCs w:val="20"/>
        </w:rPr>
        <w:t xml:space="preserve">Las aplicaciones orientadas al aumento de la productividad y competitividad han impulsado el crecimiento del </w:t>
      </w:r>
      <w:r w:rsidR="00D80CD2">
        <w:rPr>
          <w:rFonts w:ascii="Verdana" w:hAnsi="Verdana"/>
          <w:sz w:val="20"/>
          <w:szCs w:val="20"/>
        </w:rPr>
        <w:t>S</w:t>
      </w:r>
      <w:r w:rsidRPr="00527310">
        <w:rPr>
          <w:rFonts w:ascii="Verdana" w:hAnsi="Verdana"/>
          <w:sz w:val="20"/>
          <w:szCs w:val="20"/>
        </w:rPr>
        <w:t xml:space="preserve">oftware durante 2016, tanto </w:t>
      </w:r>
      <w:r w:rsidR="008E56D7">
        <w:rPr>
          <w:rFonts w:ascii="Verdana" w:hAnsi="Verdana"/>
          <w:sz w:val="20"/>
          <w:szCs w:val="20"/>
        </w:rPr>
        <w:t xml:space="preserve">en </w:t>
      </w:r>
      <w:r w:rsidRPr="00527310">
        <w:rPr>
          <w:rFonts w:ascii="Verdana" w:hAnsi="Verdana"/>
          <w:sz w:val="20"/>
          <w:szCs w:val="20"/>
        </w:rPr>
        <w:t>nuevas inversiones como en la actualización de sistemas ya existentes.</w:t>
      </w:r>
    </w:p>
    <w:p w14:paraId="299E5270" w14:textId="77777777" w:rsidR="00510964" w:rsidRPr="00527310" w:rsidRDefault="00510964" w:rsidP="00510964">
      <w:pPr>
        <w:pStyle w:val="Prrafodelista"/>
        <w:rPr>
          <w:rFonts w:ascii="Verdana" w:hAnsi="Verdana"/>
          <w:sz w:val="20"/>
          <w:szCs w:val="20"/>
        </w:rPr>
      </w:pPr>
    </w:p>
    <w:p w14:paraId="39CD67E2" w14:textId="77777777" w:rsidR="00510964" w:rsidRPr="00527310" w:rsidRDefault="008E56D7" w:rsidP="00F15D60">
      <w:pPr>
        <w:jc w:val="both"/>
        <w:rPr>
          <w:rFonts w:ascii="Verdana" w:hAnsi="Verdana"/>
          <w:sz w:val="20"/>
          <w:szCs w:val="20"/>
        </w:rPr>
      </w:pPr>
      <w:r>
        <w:rPr>
          <w:rFonts w:ascii="Verdana" w:hAnsi="Verdana"/>
          <w:sz w:val="20"/>
          <w:szCs w:val="20"/>
        </w:rPr>
        <w:t>Durante el ejercicio, continuó</w:t>
      </w:r>
      <w:r w:rsidR="00510964" w:rsidRPr="00527310">
        <w:rPr>
          <w:rFonts w:ascii="Verdana" w:hAnsi="Verdana"/>
          <w:sz w:val="20"/>
          <w:szCs w:val="20"/>
        </w:rPr>
        <w:t xml:space="preserve"> el imparable y notable</w:t>
      </w:r>
      <w:r>
        <w:rPr>
          <w:rFonts w:ascii="Verdana" w:hAnsi="Verdana"/>
          <w:sz w:val="20"/>
          <w:szCs w:val="20"/>
        </w:rPr>
        <w:t xml:space="preserve"> r</w:t>
      </w:r>
      <w:r w:rsidR="00CE4880">
        <w:rPr>
          <w:rFonts w:ascii="Verdana" w:hAnsi="Verdana"/>
          <w:sz w:val="20"/>
          <w:szCs w:val="20"/>
        </w:rPr>
        <w:t>epunte</w:t>
      </w:r>
      <w:r w:rsidR="00510964" w:rsidRPr="00527310">
        <w:rPr>
          <w:rFonts w:ascii="Verdana" w:hAnsi="Verdana"/>
          <w:sz w:val="20"/>
          <w:szCs w:val="20"/>
        </w:rPr>
        <w:t xml:space="preserve"> de ventas de aplicaciones y servicios de software en la nube, siendo sus principales consumidores los usuarios particulares y las empresas.</w:t>
      </w:r>
      <w:r w:rsidR="00F15D60">
        <w:rPr>
          <w:rFonts w:ascii="Verdana" w:hAnsi="Verdana"/>
          <w:sz w:val="20"/>
          <w:szCs w:val="20"/>
        </w:rPr>
        <w:t xml:space="preserve"> </w:t>
      </w:r>
      <w:r w:rsidR="00CE4880">
        <w:rPr>
          <w:rFonts w:ascii="Verdana" w:hAnsi="Verdana"/>
          <w:sz w:val="20"/>
          <w:szCs w:val="20"/>
        </w:rPr>
        <w:t xml:space="preserve">Hay que destacar, asimismo, </w:t>
      </w:r>
      <w:r w:rsidR="00510964" w:rsidRPr="00527310">
        <w:rPr>
          <w:rFonts w:ascii="Verdana" w:hAnsi="Verdana"/>
          <w:sz w:val="20"/>
          <w:szCs w:val="20"/>
        </w:rPr>
        <w:t>las adquisiciones relacionadas con la regularización de licenciamientos de software a raíz del mayor riesgo legal tras las reformas normativas introducidas durante el año precedente (2015)</w:t>
      </w:r>
      <w:r w:rsidR="00CE4880">
        <w:rPr>
          <w:rFonts w:ascii="Verdana" w:hAnsi="Verdana"/>
          <w:sz w:val="20"/>
          <w:szCs w:val="20"/>
        </w:rPr>
        <w:t>.</w:t>
      </w:r>
    </w:p>
    <w:p w14:paraId="181710BC" w14:textId="77777777" w:rsidR="00510964" w:rsidRPr="00527310" w:rsidRDefault="00510964" w:rsidP="00F15D60">
      <w:pPr>
        <w:pStyle w:val="Prrafodelista"/>
        <w:jc w:val="both"/>
        <w:rPr>
          <w:rFonts w:ascii="Verdana" w:hAnsi="Verdana"/>
          <w:sz w:val="20"/>
          <w:szCs w:val="20"/>
        </w:rPr>
      </w:pPr>
    </w:p>
    <w:p w14:paraId="47E9C8A6" w14:textId="77777777" w:rsidR="00510964" w:rsidRPr="00527310" w:rsidRDefault="00510964" w:rsidP="00F15D60">
      <w:pPr>
        <w:jc w:val="both"/>
        <w:rPr>
          <w:rFonts w:ascii="Verdana" w:hAnsi="Verdana"/>
          <w:sz w:val="20"/>
          <w:szCs w:val="20"/>
        </w:rPr>
      </w:pPr>
      <w:r w:rsidRPr="00527310">
        <w:rPr>
          <w:rFonts w:ascii="Verdana" w:hAnsi="Verdana"/>
          <w:sz w:val="20"/>
          <w:szCs w:val="20"/>
        </w:rPr>
        <w:t>Por sectores usuarios, destaca por su crecimiento en el consumo de software durante el ejercicio</w:t>
      </w:r>
      <w:r w:rsidR="00CE4880">
        <w:rPr>
          <w:rFonts w:ascii="Verdana" w:hAnsi="Verdana"/>
          <w:sz w:val="20"/>
          <w:szCs w:val="20"/>
        </w:rPr>
        <w:t>,</w:t>
      </w:r>
      <w:r w:rsidRPr="00527310">
        <w:rPr>
          <w:rFonts w:ascii="Verdana" w:hAnsi="Verdana"/>
          <w:sz w:val="20"/>
          <w:szCs w:val="20"/>
        </w:rPr>
        <w:t xml:space="preserve"> el sector empresarial, y muy especialmente en las pymes.</w:t>
      </w:r>
    </w:p>
    <w:p w14:paraId="6EC365AA" w14:textId="77777777" w:rsidR="00510964" w:rsidRPr="00527310" w:rsidRDefault="00510964" w:rsidP="00510964">
      <w:pPr>
        <w:pStyle w:val="Prrafodelista"/>
        <w:rPr>
          <w:rFonts w:ascii="Verdana" w:hAnsi="Verdana"/>
          <w:sz w:val="20"/>
          <w:szCs w:val="20"/>
        </w:rPr>
      </w:pPr>
    </w:p>
    <w:p w14:paraId="59201109" w14:textId="77777777" w:rsidR="00510964" w:rsidRPr="00527310" w:rsidRDefault="00510964" w:rsidP="00510964">
      <w:pPr>
        <w:rPr>
          <w:rFonts w:ascii="Verdana" w:hAnsi="Verdana"/>
          <w:b/>
          <w:bCs/>
          <w:sz w:val="20"/>
          <w:szCs w:val="20"/>
        </w:rPr>
      </w:pPr>
    </w:p>
    <w:p w14:paraId="3E3A5DDC" w14:textId="77777777" w:rsidR="00527310" w:rsidRPr="00527310" w:rsidRDefault="00510964" w:rsidP="00527310">
      <w:pPr>
        <w:rPr>
          <w:rFonts w:ascii="Verdana" w:hAnsi="Verdana"/>
          <w:b/>
          <w:bCs/>
          <w:sz w:val="20"/>
          <w:szCs w:val="20"/>
        </w:rPr>
      </w:pPr>
      <w:r w:rsidRPr="00527310">
        <w:rPr>
          <w:rFonts w:ascii="Verdana" w:hAnsi="Verdana"/>
          <w:b/>
          <w:bCs/>
          <w:sz w:val="20"/>
          <w:szCs w:val="20"/>
        </w:rPr>
        <w:t>SERVICIOS TI</w:t>
      </w:r>
    </w:p>
    <w:p w14:paraId="602FA7B9" w14:textId="37D6B582" w:rsidR="00510964" w:rsidRPr="00527310" w:rsidRDefault="00510964" w:rsidP="00CE4880">
      <w:pPr>
        <w:jc w:val="both"/>
        <w:rPr>
          <w:rFonts w:ascii="Verdana" w:hAnsi="Verdana"/>
          <w:color w:val="000000"/>
          <w:sz w:val="20"/>
          <w:szCs w:val="20"/>
        </w:rPr>
      </w:pPr>
      <w:r w:rsidRPr="00527310">
        <w:rPr>
          <w:rFonts w:ascii="Verdana" w:hAnsi="Verdana"/>
          <w:sz w:val="20"/>
          <w:szCs w:val="20"/>
        </w:rPr>
        <w:t>El crecimiento del PIB y de la economía española en general ha</w:t>
      </w:r>
      <w:r w:rsidR="00232DE7">
        <w:rPr>
          <w:rFonts w:ascii="Verdana" w:hAnsi="Verdana"/>
          <w:sz w:val="20"/>
          <w:szCs w:val="20"/>
        </w:rPr>
        <w:t>n</w:t>
      </w:r>
      <w:r w:rsidRPr="00527310">
        <w:rPr>
          <w:rFonts w:ascii="Verdana" w:hAnsi="Verdana"/>
          <w:sz w:val="20"/>
          <w:szCs w:val="20"/>
        </w:rPr>
        <w:t xml:space="preserve"> propiciado la activación de proyectos de </w:t>
      </w:r>
      <w:r w:rsidR="005B54CA">
        <w:rPr>
          <w:rFonts w:ascii="Verdana" w:hAnsi="Verdana"/>
          <w:sz w:val="20"/>
          <w:szCs w:val="20"/>
        </w:rPr>
        <w:t>S</w:t>
      </w:r>
      <w:r w:rsidRPr="00527310">
        <w:rPr>
          <w:rFonts w:ascii="Verdana" w:hAnsi="Verdana"/>
          <w:sz w:val="20"/>
          <w:szCs w:val="20"/>
        </w:rPr>
        <w:t>ervicios de TI y el relanzamiento de planes de inversión que se habían visto frenados o incluso paralizados en años anteriores.</w:t>
      </w:r>
      <w:r w:rsidR="00F15D60">
        <w:rPr>
          <w:rFonts w:ascii="Verdana" w:hAnsi="Verdana"/>
          <w:sz w:val="20"/>
          <w:szCs w:val="20"/>
        </w:rPr>
        <w:t xml:space="preserve"> </w:t>
      </w:r>
      <w:r w:rsidRPr="00527310">
        <w:rPr>
          <w:rFonts w:ascii="Verdana" w:hAnsi="Verdana"/>
          <w:color w:val="000000"/>
          <w:sz w:val="20"/>
          <w:szCs w:val="20"/>
        </w:rPr>
        <w:t xml:space="preserve">Las reducciones de costes y la eficiencia operacional siguen siendo los aspectos que más influyen en el crecimiento de los </w:t>
      </w:r>
      <w:r w:rsidR="00D80CD2">
        <w:rPr>
          <w:rFonts w:ascii="Verdana" w:hAnsi="Verdana"/>
          <w:color w:val="000000"/>
          <w:sz w:val="20"/>
          <w:szCs w:val="20"/>
        </w:rPr>
        <w:t>S</w:t>
      </w:r>
      <w:r w:rsidRPr="00527310">
        <w:rPr>
          <w:rFonts w:ascii="Verdana" w:hAnsi="Verdana"/>
          <w:color w:val="000000"/>
          <w:sz w:val="20"/>
          <w:szCs w:val="20"/>
        </w:rPr>
        <w:t>ervicios TI.</w:t>
      </w:r>
    </w:p>
    <w:p w14:paraId="1F424624" w14:textId="2B3F799A" w:rsidR="00510964" w:rsidRPr="00527310" w:rsidRDefault="00510964" w:rsidP="00527310">
      <w:pPr>
        <w:spacing w:before="240"/>
        <w:jc w:val="both"/>
        <w:rPr>
          <w:rFonts w:ascii="Verdana" w:hAnsi="Verdana"/>
          <w:color w:val="000000"/>
          <w:sz w:val="20"/>
          <w:szCs w:val="20"/>
        </w:rPr>
      </w:pPr>
      <w:r w:rsidRPr="00527310">
        <w:rPr>
          <w:rFonts w:ascii="Verdana" w:hAnsi="Verdana"/>
          <w:sz w:val="20"/>
          <w:szCs w:val="20"/>
        </w:rPr>
        <w:t>Los proyectos de transformación digital están en la agenda de muchas empresas como una de sus prioridades y su impulso ha constituido</w:t>
      </w:r>
      <w:r w:rsidR="00CE4880">
        <w:rPr>
          <w:rFonts w:ascii="Verdana" w:hAnsi="Verdana"/>
          <w:sz w:val="20"/>
          <w:szCs w:val="20"/>
        </w:rPr>
        <w:t>,</w:t>
      </w:r>
      <w:r w:rsidRPr="00527310">
        <w:rPr>
          <w:rFonts w:ascii="Verdana" w:hAnsi="Verdana"/>
          <w:sz w:val="20"/>
          <w:szCs w:val="20"/>
        </w:rPr>
        <w:t xml:space="preserve"> en 2016</w:t>
      </w:r>
      <w:r w:rsidR="00CE4880">
        <w:rPr>
          <w:rFonts w:ascii="Verdana" w:hAnsi="Verdana"/>
          <w:sz w:val="20"/>
          <w:szCs w:val="20"/>
        </w:rPr>
        <w:t>,</w:t>
      </w:r>
      <w:r w:rsidRPr="00527310">
        <w:rPr>
          <w:rFonts w:ascii="Verdana" w:hAnsi="Verdana"/>
          <w:sz w:val="20"/>
          <w:szCs w:val="20"/>
        </w:rPr>
        <w:t xml:space="preserve"> el motor de crecimiento de los </w:t>
      </w:r>
      <w:r w:rsidR="00232DE7">
        <w:rPr>
          <w:rFonts w:ascii="Verdana" w:hAnsi="Verdana"/>
          <w:sz w:val="20"/>
          <w:szCs w:val="20"/>
        </w:rPr>
        <w:t>S</w:t>
      </w:r>
      <w:r w:rsidRPr="00527310">
        <w:rPr>
          <w:rFonts w:ascii="Verdana" w:hAnsi="Verdana"/>
          <w:sz w:val="20"/>
          <w:szCs w:val="20"/>
        </w:rPr>
        <w:t>ervicios de TI, lo que</w:t>
      </w:r>
      <w:r w:rsidR="00CE4880">
        <w:rPr>
          <w:rFonts w:ascii="Verdana" w:hAnsi="Verdana"/>
          <w:sz w:val="20"/>
          <w:szCs w:val="20"/>
        </w:rPr>
        <w:t xml:space="preserve"> ha permitido que este aumento</w:t>
      </w:r>
      <w:r w:rsidRPr="00527310">
        <w:rPr>
          <w:rFonts w:ascii="Verdana" w:hAnsi="Verdana"/>
          <w:sz w:val="20"/>
          <w:szCs w:val="20"/>
        </w:rPr>
        <w:t xml:space="preserve"> se produzca tanto en volumen económico del mercado, como en número de clientes.</w:t>
      </w:r>
    </w:p>
    <w:p w14:paraId="4C899610" w14:textId="60247DA5" w:rsidR="00510964" w:rsidRPr="00527310" w:rsidRDefault="00510964" w:rsidP="00527310">
      <w:pPr>
        <w:spacing w:before="120"/>
        <w:jc w:val="both"/>
        <w:rPr>
          <w:rFonts w:ascii="Verdana" w:hAnsi="Verdana"/>
          <w:sz w:val="20"/>
          <w:szCs w:val="20"/>
        </w:rPr>
      </w:pPr>
      <w:r w:rsidRPr="00527310">
        <w:rPr>
          <w:rFonts w:ascii="Verdana" w:hAnsi="Verdana"/>
          <w:sz w:val="20"/>
          <w:szCs w:val="20"/>
        </w:rPr>
        <w:t xml:space="preserve">Por sectores usuarios, han liderado el crecimiento del consumo de </w:t>
      </w:r>
      <w:r w:rsidR="00D80CD2">
        <w:rPr>
          <w:rFonts w:ascii="Verdana" w:hAnsi="Verdana"/>
          <w:sz w:val="20"/>
          <w:szCs w:val="20"/>
        </w:rPr>
        <w:t>S</w:t>
      </w:r>
      <w:r w:rsidRPr="00527310">
        <w:rPr>
          <w:rFonts w:ascii="Verdana" w:hAnsi="Verdana"/>
          <w:sz w:val="20"/>
          <w:szCs w:val="20"/>
        </w:rPr>
        <w:t>ervicios TI</w:t>
      </w:r>
      <w:r w:rsidR="00CE4880">
        <w:rPr>
          <w:rFonts w:ascii="Verdana" w:hAnsi="Verdana"/>
          <w:sz w:val="20"/>
          <w:szCs w:val="20"/>
        </w:rPr>
        <w:t>,</w:t>
      </w:r>
      <w:r w:rsidRPr="00527310">
        <w:rPr>
          <w:rFonts w:ascii="Verdana" w:hAnsi="Verdana"/>
          <w:sz w:val="20"/>
          <w:szCs w:val="20"/>
        </w:rPr>
        <w:t xml:space="preserve"> durante 2016</w:t>
      </w:r>
      <w:r w:rsidR="00CE4880">
        <w:rPr>
          <w:rFonts w:ascii="Verdana" w:hAnsi="Verdana"/>
          <w:sz w:val="20"/>
          <w:szCs w:val="20"/>
        </w:rPr>
        <w:t>,</w:t>
      </w:r>
      <w:r w:rsidRPr="00527310">
        <w:rPr>
          <w:rFonts w:ascii="Verdana" w:hAnsi="Verdana"/>
          <w:sz w:val="20"/>
          <w:szCs w:val="20"/>
        </w:rPr>
        <w:t xml:space="preserve"> los sectores financiero, energía e industria. Por su parte, las Administraciones Públicas se mantienen entre los principales consumidores de </w:t>
      </w:r>
      <w:r w:rsidR="00D80CD2">
        <w:rPr>
          <w:rFonts w:ascii="Verdana" w:hAnsi="Verdana"/>
          <w:sz w:val="20"/>
          <w:szCs w:val="20"/>
        </w:rPr>
        <w:t>S</w:t>
      </w:r>
      <w:r w:rsidRPr="00527310">
        <w:rPr>
          <w:rFonts w:ascii="Verdana" w:hAnsi="Verdana"/>
          <w:sz w:val="20"/>
          <w:szCs w:val="20"/>
        </w:rPr>
        <w:t>ervicios TI, aunque su cifra de inversión se ha visto nuevamente mermada a lo largo de 2016.</w:t>
      </w:r>
    </w:p>
    <w:p w14:paraId="554ECC7D" w14:textId="77777777" w:rsidR="00510964" w:rsidRPr="00527310" w:rsidRDefault="00510964" w:rsidP="00510964">
      <w:pPr>
        <w:spacing w:before="120"/>
        <w:jc w:val="both"/>
        <w:rPr>
          <w:rFonts w:ascii="Verdana" w:hAnsi="Verdana"/>
          <w:sz w:val="20"/>
          <w:szCs w:val="20"/>
        </w:rPr>
      </w:pPr>
    </w:p>
    <w:p w14:paraId="4B07A7BC" w14:textId="77777777" w:rsidR="00F15D60" w:rsidRDefault="00510964" w:rsidP="00F15D60">
      <w:pPr>
        <w:jc w:val="both"/>
        <w:rPr>
          <w:rFonts w:ascii="Verdana" w:hAnsi="Verdana"/>
          <w:b/>
          <w:bCs/>
          <w:sz w:val="20"/>
          <w:szCs w:val="20"/>
        </w:rPr>
      </w:pPr>
      <w:r w:rsidRPr="00527310">
        <w:rPr>
          <w:rFonts w:ascii="Verdana" w:hAnsi="Verdana"/>
          <w:b/>
          <w:bCs/>
          <w:sz w:val="20"/>
          <w:szCs w:val="20"/>
        </w:rPr>
        <w:t>EMPLEO</w:t>
      </w:r>
    </w:p>
    <w:p w14:paraId="7FBAA658" w14:textId="0BA6AB32" w:rsidR="00510964" w:rsidRPr="00527310" w:rsidRDefault="00CE4880" w:rsidP="00F15D60">
      <w:pPr>
        <w:jc w:val="both"/>
        <w:rPr>
          <w:rFonts w:ascii="Verdana" w:hAnsi="Verdana"/>
          <w:sz w:val="20"/>
          <w:szCs w:val="20"/>
        </w:rPr>
      </w:pPr>
      <w:r>
        <w:rPr>
          <w:rFonts w:ascii="Verdana" w:hAnsi="Verdana"/>
          <w:sz w:val="20"/>
          <w:szCs w:val="20"/>
        </w:rPr>
        <w:t>Durante el pasado ejercicio, e</w:t>
      </w:r>
      <w:r w:rsidR="00510964" w:rsidRPr="00527310">
        <w:rPr>
          <w:rFonts w:ascii="Verdana" w:hAnsi="Verdana"/>
          <w:sz w:val="20"/>
          <w:szCs w:val="20"/>
        </w:rPr>
        <w:t>l sector</w:t>
      </w:r>
      <w:r>
        <w:rPr>
          <w:rFonts w:ascii="Verdana" w:hAnsi="Verdana"/>
          <w:sz w:val="20"/>
          <w:szCs w:val="20"/>
        </w:rPr>
        <w:t xml:space="preserve"> </w:t>
      </w:r>
      <w:r w:rsidR="00232DE7">
        <w:rPr>
          <w:rFonts w:ascii="Verdana" w:hAnsi="Verdana"/>
          <w:sz w:val="20"/>
          <w:szCs w:val="20"/>
        </w:rPr>
        <w:t xml:space="preserve">mantuvo su </w:t>
      </w:r>
      <w:r w:rsidRPr="00A2661F">
        <w:rPr>
          <w:rFonts w:ascii="Verdana" w:hAnsi="Verdana"/>
          <w:sz w:val="20"/>
          <w:szCs w:val="20"/>
        </w:rPr>
        <w:t>esfuerzo de contratación</w:t>
      </w:r>
      <w:r>
        <w:rPr>
          <w:rFonts w:ascii="Verdana" w:hAnsi="Verdana"/>
          <w:sz w:val="20"/>
          <w:szCs w:val="20"/>
        </w:rPr>
        <w:t xml:space="preserve">, lo que ha elevado la cifra de </w:t>
      </w:r>
      <w:r w:rsidR="00510964" w:rsidRPr="00527310">
        <w:rPr>
          <w:rFonts w:ascii="Verdana" w:hAnsi="Verdana"/>
          <w:sz w:val="20"/>
          <w:szCs w:val="20"/>
        </w:rPr>
        <w:t>empleados directos</w:t>
      </w:r>
      <w:r>
        <w:rPr>
          <w:rFonts w:ascii="Verdana" w:hAnsi="Verdana"/>
          <w:sz w:val="20"/>
          <w:szCs w:val="20"/>
        </w:rPr>
        <w:t xml:space="preserve"> </w:t>
      </w:r>
      <w:r w:rsidR="00232DE7">
        <w:rPr>
          <w:rFonts w:ascii="Verdana" w:hAnsi="Verdana"/>
          <w:sz w:val="20"/>
          <w:szCs w:val="20"/>
        </w:rPr>
        <w:t xml:space="preserve">por encima de </w:t>
      </w:r>
      <w:r>
        <w:rPr>
          <w:rFonts w:ascii="Verdana" w:hAnsi="Verdana"/>
          <w:sz w:val="20"/>
          <w:szCs w:val="20"/>
        </w:rPr>
        <w:t>los 200.000</w:t>
      </w:r>
      <w:r w:rsidR="00510964" w:rsidRPr="00527310">
        <w:rPr>
          <w:rFonts w:ascii="Verdana" w:hAnsi="Verdana"/>
          <w:sz w:val="20"/>
          <w:szCs w:val="20"/>
        </w:rPr>
        <w:t>.</w:t>
      </w:r>
      <w:r w:rsidR="006A3505">
        <w:rPr>
          <w:rFonts w:ascii="Verdana" w:hAnsi="Verdana"/>
          <w:sz w:val="20"/>
          <w:szCs w:val="20"/>
        </w:rPr>
        <w:t xml:space="preserve"> </w:t>
      </w:r>
      <w:r w:rsidR="00510964" w:rsidRPr="00527310">
        <w:rPr>
          <w:rFonts w:ascii="Verdana" w:hAnsi="Verdana"/>
          <w:sz w:val="20"/>
          <w:szCs w:val="20"/>
        </w:rPr>
        <w:t xml:space="preserve">Este crecimiento se ha debido principalmente en la evolución positiva del segmento de los </w:t>
      </w:r>
      <w:r w:rsidR="00D80CD2">
        <w:rPr>
          <w:rFonts w:ascii="Verdana" w:hAnsi="Verdana"/>
          <w:sz w:val="20"/>
          <w:szCs w:val="20"/>
        </w:rPr>
        <w:t>S</w:t>
      </w:r>
      <w:r w:rsidR="00510964" w:rsidRPr="00527310">
        <w:rPr>
          <w:rFonts w:ascii="Verdana" w:hAnsi="Verdana"/>
          <w:sz w:val="20"/>
          <w:szCs w:val="20"/>
        </w:rPr>
        <w:t>ervicios TI que constituye el mayor consumidor de recursos de personal.</w:t>
      </w:r>
      <w:r w:rsidR="006A3505">
        <w:rPr>
          <w:rFonts w:ascii="Verdana" w:hAnsi="Verdana"/>
          <w:sz w:val="20"/>
          <w:szCs w:val="20"/>
        </w:rPr>
        <w:t xml:space="preserve"> </w:t>
      </w:r>
      <w:r w:rsidR="00510964" w:rsidRPr="00527310">
        <w:rPr>
          <w:rFonts w:ascii="Verdana" w:hAnsi="Verdana"/>
          <w:sz w:val="20"/>
          <w:szCs w:val="20"/>
        </w:rPr>
        <w:t xml:space="preserve">El empleo en el </w:t>
      </w:r>
      <w:r w:rsidR="004232D5">
        <w:rPr>
          <w:rFonts w:ascii="Verdana" w:hAnsi="Verdana"/>
          <w:sz w:val="20"/>
          <w:szCs w:val="20"/>
        </w:rPr>
        <w:t>S</w:t>
      </w:r>
      <w:r w:rsidR="00510964" w:rsidRPr="00527310">
        <w:rPr>
          <w:rFonts w:ascii="Verdana" w:hAnsi="Verdana"/>
          <w:sz w:val="20"/>
          <w:szCs w:val="20"/>
        </w:rPr>
        <w:t xml:space="preserve">ector TI mantiene sus características de calidad y estabilidad superior al del conjunto del tejido </w:t>
      </w:r>
      <w:r w:rsidR="00510964" w:rsidRPr="00527310">
        <w:rPr>
          <w:rFonts w:ascii="Verdana" w:hAnsi="Verdana"/>
          <w:sz w:val="20"/>
          <w:szCs w:val="20"/>
        </w:rPr>
        <w:lastRenderedPageBreak/>
        <w:t>productivo, pero también los desequilibrios en algunos perfiles muy demandados por el sector para los que la oferta de profesionales es insuficiente.</w:t>
      </w:r>
    </w:p>
    <w:p w14:paraId="368C7003" w14:textId="77777777" w:rsidR="00BE24C0" w:rsidRDefault="00BE24C0" w:rsidP="00BE24C0">
      <w:pPr>
        <w:pStyle w:val="Sinespaciado"/>
        <w:jc w:val="both"/>
        <w:rPr>
          <w:rFonts w:ascii="Verdana" w:hAnsi="Verdana" w:cstheme="minorHAnsi"/>
          <w:b/>
          <w:bCs/>
          <w:color w:val="000000" w:themeColor="text1"/>
          <w:sz w:val="18"/>
          <w:szCs w:val="18"/>
        </w:rPr>
      </w:pPr>
    </w:p>
    <w:p w14:paraId="5423048A" w14:textId="77777777" w:rsidR="00FC1994" w:rsidRDefault="00FC1994" w:rsidP="00BE24C0">
      <w:pPr>
        <w:pStyle w:val="Sinespaciado"/>
        <w:jc w:val="both"/>
        <w:rPr>
          <w:rFonts w:ascii="Verdana" w:hAnsi="Verdana" w:cstheme="minorHAnsi"/>
          <w:b/>
          <w:bCs/>
          <w:color w:val="000000" w:themeColor="text1"/>
          <w:sz w:val="18"/>
          <w:szCs w:val="18"/>
        </w:rPr>
      </w:pPr>
    </w:p>
    <w:p w14:paraId="7827ABD3" w14:textId="1402507E" w:rsidR="00BE24C0" w:rsidRPr="002461C0" w:rsidRDefault="00BE24C0" w:rsidP="00BE24C0">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w:t>
      </w:r>
      <w:r w:rsidR="00232DE7">
        <w:rPr>
          <w:rFonts w:ascii="Verdana" w:hAnsi="Verdana" w:cstheme="minorHAnsi"/>
          <w:b/>
          <w:bCs/>
          <w:color w:val="000000" w:themeColor="text1"/>
          <w:sz w:val="18"/>
          <w:szCs w:val="18"/>
        </w:rPr>
        <w:t>METIC</w:t>
      </w:r>
    </w:p>
    <w:p w14:paraId="24F7AFEC" w14:textId="77777777" w:rsidR="00BE24C0" w:rsidRPr="002461C0" w:rsidRDefault="00BE24C0" w:rsidP="00BE24C0">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D24A45C" w14:textId="77777777" w:rsidR="00BE24C0" w:rsidRPr="002461C0" w:rsidRDefault="00257986" w:rsidP="00BE24C0">
      <w:pPr>
        <w:autoSpaceDE w:val="0"/>
        <w:autoSpaceDN w:val="0"/>
        <w:adjustRightInd w:val="0"/>
        <w:jc w:val="both"/>
        <w:rPr>
          <w:rStyle w:val="Hipervnculo"/>
          <w:rFonts w:ascii="Verdana" w:hAnsi="Verdana" w:cstheme="minorHAnsi"/>
          <w:sz w:val="18"/>
          <w:szCs w:val="18"/>
        </w:rPr>
      </w:pPr>
      <w:hyperlink r:id="rId7" w:history="1">
        <w:r w:rsidR="00BE24C0" w:rsidRPr="002461C0">
          <w:rPr>
            <w:rStyle w:val="Hipervnculo"/>
            <w:rFonts w:ascii="Verdana" w:hAnsi="Verdana" w:cstheme="minorHAnsi"/>
            <w:sz w:val="18"/>
            <w:szCs w:val="18"/>
          </w:rPr>
          <w:t>www.ametic.es</w:t>
        </w:r>
      </w:hyperlink>
    </w:p>
    <w:p w14:paraId="11C23D09" w14:textId="77777777" w:rsidR="00BE24C0" w:rsidRPr="002461C0" w:rsidRDefault="00BE24C0" w:rsidP="00BE24C0">
      <w:pPr>
        <w:autoSpaceDE w:val="0"/>
        <w:autoSpaceDN w:val="0"/>
        <w:adjustRightInd w:val="0"/>
        <w:jc w:val="both"/>
        <w:rPr>
          <w:rFonts w:ascii="Verdana" w:hAnsi="Verdana" w:cstheme="minorHAnsi"/>
          <w:color w:val="0000FF"/>
          <w:sz w:val="18"/>
          <w:szCs w:val="18"/>
          <w:u w:val="single"/>
        </w:rPr>
      </w:pPr>
    </w:p>
    <w:p w14:paraId="63AC2D0D" w14:textId="77777777" w:rsidR="00BE24C0" w:rsidRPr="002461C0" w:rsidRDefault="00BE24C0" w:rsidP="00BE24C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1851C786" wp14:editId="146028D0">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694963" cy="582883"/>
                    </a:xfrm>
                    <a:prstGeom prst="rect">
                      <a:avLst/>
                    </a:prstGeom>
                    <a:noFill/>
                    <a:ln w="9525">
                      <a:noFill/>
                      <a:miter lim="800000"/>
                      <a:headEnd/>
                      <a:tailEnd/>
                    </a:ln>
                  </pic:spPr>
                </pic:pic>
              </a:graphicData>
            </a:graphic>
          </wp:inline>
        </w:drawing>
      </w:r>
    </w:p>
    <w:p w14:paraId="5F49410F" w14:textId="77777777" w:rsidR="00BE24C0" w:rsidRDefault="00BE24C0" w:rsidP="00BE24C0">
      <w:pPr>
        <w:autoSpaceDE w:val="0"/>
        <w:autoSpaceDN w:val="0"/>
        <w:adjustRightInd w:val="0"/>
        <w:jc w:val="both"/>
        <w:rPr>
          <w:rFonts w:ascii="Verdana" w:hAnsi="Verdana" w:cs="Verdana"/>
          <w:sz w:val="20"/>
          <w:szCs w:val="20"/>
        </w:rPr>
      </w:pPr>
    </w:p>
    <w:sectPr w:rsidR="00BE24C0" w:rsidSect="00BE24C0">
      <w:headerReference w:type="default" r:id="rId9"/>
      <w:footerReference w:type="default" r:id="rId10"/>
      <w:type w:val="continuous"/>
      <w:pgSz w:w="12240" w:h="15840"/>
      <w:pgMar w:top="2268" w:right="1701" w:bottom="1418"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478D" w14:textId="77777777" w:rsidR="00E74F3A" w:rsidRDefault="00E74F3A" w:rsidP="00BE24C0">
      <w:r>
        <w:separator/>
      </w:r>
    </w:p>
  </w:endnote>
  <w:endnote w:type="continuationSeparator" w:id="0">
    <w:p w14:paraId="6A86FDFF" w14:textId="77777777" w:rsidR="00E74F3A" w:rsidRDefault="00E74F3A" w:rsidP="00BE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F UI Text">
    <w:charset w:val="00"/>
    <w:family w:val="auto"/>
    <w:pitch w:val="default"/>
  </w:font>
  <w:font w:name=".SFUIText">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9C75" w14:textId="77777777" w:rsidR="00BE24C0" w:rsidRPr="009E1311" w:rsidRDefault="00BE24C0" w:rsidP="00BE24C0">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14:paraId="03BEDD45" w14:textId="77777777" w:rsidR="00BE24C0" w:rsidRPr="009E1311" w:rsidRDefault="00BE24C0" w:rsidP="00BE24C0">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14:paraId="4C3B4C5A" w14:textId="77777777" w:rsidR="00BE24C0" w:rsidRPr="009E1311" w:rsidRDefault="00BE24C0" w:rsidP="00BE24C0">
    <w:pPr>
      <w:pStyle w:val="Piedepgina"/>
      <w:jc w:val="center"/>
      <w:rPr>
        <w:rFonts w:ascii="Verdana" w:hAnsi="Verdana" w:cs="Arial"/>
        <w:bCs/>
        <w:color w:val="404040"/>
        <w:sz w:val="18"/>
        <w:szCs w:val="18"/>
        <w:shd w:val="clear" w:color="auto" w:fill="FFFFFF"/>
      </w:rPr>
    </w:pPr>
  </w:p>
  <w:p w14:paraId="19ECF094" w14:textId="77777777" w:rsidR="00BE24C0" w:rsidRPr="009E1311" w:rsidRDefault="00BE24C0" w:rsidP="00BE24C0">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14:paraId="31D62ACB" w14:textId="77777777" w:rsidR="00BE24C0" w:rsidRPr="009E1311" w:rsidRDefault="00BE24C0" w:rsidP="00BE24C0">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14:paraId="00347D19" w14:textId="77777777" w:rsidR="00BE24C0" w:rsidRDefault="00BE24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0F9C4" w14:textId="77777777" w:rsidR="00E74F3A" w:rsidRDefault="00E74F3A" w:rsidP="00BE24C0">
      <w:r>
        <w:separator/>
      </w:r>
    </w:p>
  </w:footnote>
  <w:footnote w:type="continuationSeparator" w:id="0">
    <w:p w14:paraId="2B5DE387" w14:textId="77777777" w:rsidR="00E74F3A" w:rsidRDefault="00E74F3A" w:rsidP="00BE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6AD9" w14:textId="77777777" w:rsidR="000C15D6" w:rsidRDefault="000C15D6" w:rsidP="00BE24C0">
    <w:pPr>
      <w:pStyle w:val="Encabezado"/>
      <w:jc w:val="right"/>
      <w:rPr>
        <w:noProof/>
      </w:rPr>
    </w:pPr>
  </w:p>
  <w:p w14:paraId="567B07B5" w14:textId="77777777" w:rsidR="00BE24C0" w:rsidRDefault="00BE24C0" w:rsidP="00BE24C0">
    <w:pPr>
      <w:pStyle w:val="Encabezado"/>
      <w:jc w:val="right"/>
    </w:pPr>
    <w:r>
      <w:rPr>
        <w:noProof/>
      </w:rPr>
      <w:drawing>
        <wp:anchor distT="0" distB="0" distL="114300" distR="114300" simplePos="0" relativeHeight="251659264" behindDoc="0" locked="0" layoutInCell="1" allowOverlap="1" wp14:anchorId="5C07439A" wp14:editId="1DB9598B">
          <wp:simplePos x="0" y="0"/>
          <wp:positionH relativeFrom="column">
            <wp:posOffset>348615</wp:posOffset>
          </wp:positionH>
          <wp:positionV relativeFrom="paragraph">
            <wp:posOffset>759</wp:posOffset>
          </wp:positionV>
          <wp:extent cx="1606550" cy="613978"/>
          <wp:effectExtent l="0" t="0" r="0" b="0"/>
          <wp:wrapNone/>
          <wp:docPr id="4" name="Imagen 4" descr="LOGO_LEYENDA_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YENDA_DER"/>
                  <pic:cNvPicPr>
                    <a:picLocks noChangeAspect="1" noChangeArrowheads="1"/>
                  </pic:cNvPicPr>
                </pic:nvPicPr>
                <pic:blipFill>
                  <a:blip r:embed="rId1">
                    <a:extLst>
                      <a:ext uri="{28A0092B-C50C-407E-A947-70E740481C1C}">
                        <a14:useLocalDpi xmlns:a14="http://schemas.microsoft.com/office/drawing/2010/main" val="0"/>
                      </a:ext>
                    </a:extLst>
                  </a:blip>
                  <a:srcRect t="7906" b="38620"/>
                  <a:stretch>
                    <a:fillRect/>
                  </a:stretch>
                </pic:blipFill>
                <pic:spPr bwMode="auto">
                  <a:xfrm>
                    <a:off x="0" y="0"/>
                    <a:ext cx="1609158" cy="614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8E394C7" w14:textId="77777777" w:rsidR="00BE24C0" w:rsidRDefault="00BE24C0" w:rsidP="00BE24C0">
    <w:pPr>
      <w:pStyle w:val="Encabezado"/>
      <w:jc w:val="right"/>
    </w:pPr>
  </w:p>
  <w:p w14:paraId="5DCF70F4" w14:textId="77777777" w:rsidR="00BE24C0" w:rsidRDefault="00BE24C0" w:rsidP="00BE24C0">
    <w:pPr>
      <w:pStyle w:val="Encabezado"/>
      <w:jc w:val="right"/>
    </w:pPr>
  </w:p>
  <w:p w14:paraId="7A2D3899" w14:textId="77777777" w:rsidR="00BE24C0" w:rsidRPr="00CE32D0" w:rsidRDefault="00BE24C0" w:rsidP="00BE24C0">
    <w:pPr>
      <w:pStyle w:val="Encabezado"/>
      <w:jc w:val="right"/>
      <w:rPr>
        <w:rFonts w:asciiTheme="minorHAnsi" w:hAnsiTheme="minorHAnsi"/>
        <w:sz w:val="22"/>
        <w:szCs w:val="22"/>
      </w:rPr>
    </w:pPr>
  </w:p>
  <w:p w14:paraId="33E13E5E" w14:textId="77777777" w:rsidR="00BE24C0" w:rsidRPr="009E1311" w:rsidRDefault="00BE24C0" w:rsidP="00BE24C0">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14:paraId="63226E7E" w14:textId="77777777" w:rsidR="00BE24C0" w:rsidRDefault="00BE24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5FF"/>
    <w:multiLevelType w:val="hybridMultilevel"/>
    <w:tmpl w:val="8B6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454C4F"/>
    <w:multiLevelType w:val="hybridMultilevel"/>
    <w:tmpl w:val="E8A804B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45806A7"/>
    <w:multiLevelType w:val="hybridMultilevel"/>
    <w:tmpl w:val="B84CEC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E3366A"/>
    <w:multiLevelType w:val="hybridMultilevel"/>
    <w:tmpl w:val="92008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85175C"/>
    <w:multiLevelType w:val="hybridMultilevel"/>
    <w:tmpl w:val="D09202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7B27FF2"/>
    <w:multiLevelType w:val="hybridMultilevel"/>
    <w:tmpl w:val="954AD5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56C220D"/>
    <w:multiLevelType w:val="hybridMultilevel"/>
    <w:tmpl w:val="E41A6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416DDA"/>
    <w:multiLevelType w:val="hybridMultilevel"/>
    <w:tmpl w:val="4A309E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C0"/>
    <w:rsid w:val="000226A5"/>
    <w:rsid w:val="000267BC"/>
    <w:rsid w:val="00026A28"/>
    <w:rsid w:val="000445C1"/>
    <w:rsid w:val="000515B8"/>
    <w:rsid w:val="000C10AA"/>
    <w:rsid w:val="000C15D6"/>
    <w:rsid w:val="000D5B14"/>
    <w:rsid w:val="00114937"/>
    <w:rsid w:val="00160AA7"/>
    <w:rsid w:val="001B11E8"/>
    <w:rsid w:val="001B7019"/>
    <w:rsid w:val="00216D96"/>
    <w:rsid w:val="00232DE7"/>
    <w:rsid w:val="0024438F"/>
    <w:rsid w:val="00257986"/>
    <w:rsid w:val="002620C4"/>
    <w:rsid w:val="0026400B"/>
    <w:rsid w:val="002648F7"/>
    <w:rsid w:val="00274F7F"/>
    <w:rsid w:val="002F5F66"/>
    <w:rsid w:val="00310D83"/>
    <w:rsid w:val="003675A8"/>
    <w:rsid w:val="003A3D50"/>
    <w:rsid w:val="003A4915"/>
    <w:rsid w:val="003B2F60"/>
    <w:rsid w:val="004232D5"/>
    <w:rsid w:val="004839FC"/>
    <w:rsid w:val="004A2570"/>
    <w:rsid w:val="00510964"/>
    <w:rsid w:val="00527310"/>
    <w:rsid w:val="00592C71"/>
    <w:rsid w:val="005A0276"/>
    <w:rsid w:val="005B54CA"/>
    <w:rsid w:val="005D668C"/>
    <w:rsid w:val="00675515"/>
    <w:rsid w:val="006A3505"/>
    <w:rsid w:val="00725FE2"/>
    <w:rsid w:val="007A46D9"/>
    <w:rsid w:val="007A520B"/>
    <w:rsid w:val="007C158B"/>
    <w:rsid w:val="00831E34"/>
    <w:rsid w:val="00834742"/>
    <w:rsid w:val="008565F0"/>
    <w:rsid w:val="00883DBC"/>
    <w:rsid w:val="008B6A89"/>
    <w:rsid w:val="008E56D7"/>
    <w:rsid w:val="008F7E27"/>
    <w:rsid w:val="00906D98"/>
    <w:rsid w:val="00981F47"/>
    <w:rsid w:val="009B463D"/>
    <w:rsid w:val="009E1D76"/>
    <w:rsid w:val="009F245F"/>
    <w:rsid w:val="009F3F55"/>
    <w:rsid w:val="009F4DE4"/>
    <w:rsid w:val="00A2222F"/>
    <w:rsid w:val="00A2661F"/>
    <w:rsid w:val="00A65FDA"/>
    <w:rsid w:val="00AC7B72"/>
    <w:rsid w:val="00B1010C"/>
    <w:rsid w:val="00B8791F"/>
    <w:rsid w:val="00BE1564"/>
    <w:rsid w:val="00BE24C0"/>
    <w:rsid w:val="00BF5402"/>
    <w:rsid w:val="00C123D0"/>
    <w:rsid w:val="00C12E08"/>
    <w:rsid w:val="00C61EB3"/>
    <w:rsid w:val="00C70D87"/>
    <w:rsid w:val="00C9031C"/>
    <w:rsid w:val="00C90B1D"/>
    <w:rsid w:val="00C9511D"/>
    <w:rsid w:val="00CB31D4"/>
    <w:rsid w:val="00CC4593"/>
    <w:rsid w:val="00CE4880"/>
    <w:rsid w:val="00D30722"/>
    <w:rsid w:val="00D80CD2"/>
    <w:rsid w:val="00D97F10"/>
    <w:rsid w:val="00DF54BF"/>
    <w:rsid w:val="00E12835"/>
    <w:rsid w:val="00E13F89"/>
    <w:rsid w:val="00E15C53"/>
    <w:rsid w:val="00E5589B"/>
    <w:rsid w:val="00E74F3A"/>
    <w:rsid w:val="00EC56DD"/>
    <w:rsid w:val="00EE6B70"/>
    <w:rsid w:val="00F15D60"/>
    <w:rsid w:val="00F47C1D"/>
    <w:rsid w:val="00F86B40"/>
    <w:rsid w:val="00FC1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B8768"/>
  <w15:docId w15:val="{8614C38A-72A6-46C0-83BD-A399B18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24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style>
  <w:style w:type="character" w:customStyle="1" w:styleId="EncabezadoCar">
    <w:name w:val="Encabezado Car"/>
    <w:aliases w:val="Encabezado_ametic_prueba Car"/>
    <w:basedOn w:val="Fuentedeprrafopredeter"/>
    <w:link w:val="Encabezado"/>
    <w:uiPriority w:val="99"/>
    <w:rsid w:val="00DF54BF"/>
  </w:style>
  <w:style w:type="paragraph" w:styleId="Prrafodelista">
    <w:name w:val="List Paragraph"/>
    <w:basedOn w:val="Normal"/>
    <w:uiPriority w:val="34"/>
    <w:qFormat/>
    <w:rsid w:val="00BE24C0"/>
    <w:pPr>
      <w:ind w:left="720"/>
      <w:contextualSpacing/>
    </w:pPr>
  </w:style>
  <w:style w:type="character" w:customStyle="1" w:styleId="apple-converted-space">
    <w:name w:val="apple-converted-space"/>
    <w:basedOn w:val="Fuentedeprrafopredeter"/>
    <w:rsid w:val="00BE24C0"/>
    <w:rPr>
      <w:rFonts w:cs="Times New Roman"/>
    </w:rPr>
  </w:style>
  <w:style w:type="paragraph" w:styleId="Sinespaciado">
    <w:name w:val="No Spacing"/>
    <w:uiPriority w:val="1"/>
    <w:qFormat/>
    <w:rsid w:val="00BE24C0"/>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BE24C0"/>
    <w:rPr>
      <w:rFonts w:cs="Times New Roman"/>
      <w:color w:val="0000FF"/>
      <w:u w:val="single"/>
    </w:rPr>
  </w:style>
  <w:style w:type="paragraph" w:styleId="Piedepgina">
    <w:name w:val="footer"/>
    <w:basedOn w:val="Normal"/>
    <w:link w:val="PiedepginaCar"/>
    <w:uiPriority w:val="99"/>
    <w:unhideWhenUsed/>
    <w:rsid w:val="00BE24C0"/>
    <w:pPr>
      <w:tabs>
        <w:tab w:val="center" w:pos="4419"/>
        <w:tab w:val="right" w:pos="8838"/>
      </w:tabs>
    </w:pPr>
  </w:style>
  <w:style w:type="character" w:customStyle="1" w:styleId="PiedepginaCar">
    <w:name w:val="Pie de página Car"/>
    <w:basedOn w:val="Fuentedeprrafopredeter"/>
    <w:link w:val="Piedepgina"/>
    <w:uiPriority w:val="99"/>
    <w:rsid w:val="00BE24C0"/>
    <w:rPr>
      <w:rFonts w:ascii="Times New Roman" w:eastAsia="Times New Roman" w:hAnsi="Times New Roman" w:cs="Times New Roman"/>
      <w:sz w:val="24"/>
      <w:szCs w:val="24"/>
      <w:lang w:eastAsia="es-ES"/>
    </w:rPr>
  </w:style>
  <w:style w:type="paragraph" w:customStyle="1" w:styleId="m-7822353199638506796msolistparagraph">
    <w:name w:val="m_-7822353199638506796msolistparagraph"/>
    <w:basedOn w:val="Normal"/>
    <w:rsid w:val="00BE1564"/>
    <w:pPr>
      <w:spacing w:before="100" w:beforeAutospacing="1" w:after="100" w:afterAutospacing="1"/>
    </w:pPr>
    <w:rPr>
      <w:rFonts w:eastAsiaTheme="minorHAnsi"/>
    </w:rPr>
  </w:style>
  <w:style w:type="paragraph" w:styleId="NormalWeb">
    <w:name w:val="Normal (Web)"/>
    <w:basedOn w:val="Normal"/>
    <w:uiPriority w:val="99"/>
    <w:semiHidden/>
    <w:unhideWhenUsed/>
    <w:rsid w:val="00BE1564"/>
    <w:pPr>
      <w:spacing w:before="100" w:beforeAutospacing="1" w:after="100" w:afterAutospacing="1"/>
    </w:pPr>
    <w:rPr>
      <w:rFonts w:eastAsiaTheme="minorHAnsi"/>
    </w:rPr>
  </w:style>
  <w:style w:type="paragraph" w:styleId="Textodeglobo">
    <w:name w:val="Balloon Text"/>
    <w:basedOn w:val="Normal"/>
    <w:link w:val="TextodegloboCar"/>
    <w:uiPriority w:val="99"/>
    <w:semiHidden/>
    <w:unhideWhenUsed/>
    <w:rsid w:val="009F3F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F55"/>
    <w:rPr>
      <w:rFonts w:ascii="Segoe UI" w:eastAsia="Times New Roman" w:hAnsi="Segoe UI" w:cs="Segoe UI"/>
      <w:sz w:val="18"/>
      <w:szCs w:val="18"/>
      <w:lang w:eastAsia="es-ES"/>
    </w:rPr>
  </w:style>
  <w:style w:type="paragraph" w:customStyle="1" w:styleId="p1">
    <w:name w:val="p1"/>
    <w:basedOn w:val="Normal"/>
    <w:rsid w:val="00510964"/>
    <w:rPr>
      <w:rFonts w:ascii=".SF UI Text" w:eastAsiaTheme="minorHAnsi" w:hAnsi=".SF UI Text"/>
      <w:color w:val="454545"/>
      <w:sz w:val="26"/>
      <w:szCs w:val="26"/>
    </w:rPr>
  </w:style>
  <w:style w:type="paragraph" w:customStyle="1" w:styleId="p2">
    <w:name w:val="p2"/>
    <w:basedOn w:val="Normal"/>
    <w:rsid w:val="00510964"/>
    <w:rPr>
      <w:rFonts w:ascii=".SF UI Text" w:eastAsiaTheme="minorHAnsi" w:hAnsi=".SF UI Text"/>
      <w:color w:val="454545"/>
      <w:sz w:val="26"/>
      <w:szCs w:val="26"/>
    </w:rPr>
  </w:style>
  <w:style w:type="character" w:customStyle="1" w:styleId="s1">
    <w:name w:val="s1"/>
    <w:basedOn w:val="Fuentedeprrafopredeter"/>
    <w:rsid w:val="00510964"/>
    <w:rPr>
      <w:rFonts w:ascii=".SFUIText" w:hAnsi=".SFUIText" w:hint="default"/>
      <w:b w:val="0"/>
      <w:bCs w:val="0"/>
      <w:i w:val="0"/>
      <w:iCs w:val="0"/>
    </w:rPr>
  </w:style>
  <w:style w:type="character" w:styleId="Refdecomentario">
    <w:name w:val="annotation reference"/>
    <w:basedOn w:val="Fuentedeprrafopredeter"/>
    <w:uiPriority w:val="99"/>
    <w:semiHidden/>
    <w:unhideWhenUsed/>
    <w:rsid w:val="003A3D50"/>
    <w:rPr>
      <w:sz w:val="16"/>
      <w:szCs w:val="16"/>
    </w:rPr>
  </w:style>
  <w:style w:type="paragraph" w:styleId="Textocomentario">
    <w:name w:val="annotation text"/>
    <w:basedOn w:val="Normal"/>
    <w:link w:val="TextocomentarioCar"/>
    <w:uiPriority w:val="99"/>
    <w:semiHidden/>
    <w:unhideWhenUsed/>
    <w:rsid w:val="003A3D50"/>
    <w:rPr>
      <w:sz w:val="20"/>
      <w:szCs w:val="20"/>
    </w:rPr>
  </w:style>
  <w:style w:type="character" w:customStyle="1" w:styleId="TextocomentarioCar">
    <w:name w:val="Texto comentario Car"/>
    <w:basedOn w:val="Fuentedeprrafopredeter"/>
    <w:link w:val="Textocomentario"/>
    <w:uiPriority w:val="99"/>
    <w:semiHidden/>
    <w:rsid w:val="003A3D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3D50"/>
    <w:rPr>
      <w:b/>
      <w:bCs/>
    </w:rPr>
  </w:style>
  <w:style w:type="character" w:customStyle="1" w:styleId="AsuntodelcomentarioCar">
    <w:name w:val="Asunto del comentario Car"/>
    <w:basedOn w:val="TextocomentarioCar"/>
    <w:link w:val="Asuntodelcomentario"/>
    <w:uiPriority w:val="99"/>
    <w:semiHidden/>
    <w:rsid w:val="003A3D50"/>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4687">
      <w:bodyDiv w:val="1"/>
      <w:marLeft w:val="0"/>
      <w:marRight w:val="0"/>
      <w:marTop w:val="0"/>
      <w:marBottom w:val="0"/>
      <w:divBdr>
        <w:top w:val="none" w:sz="0" w:space="0" w:color="auto"/>
        <w:left w:val="none" w:sz="0" w:space="0" w:color="auto"/>
        <w:bottom w:val="none" w:sz="0" w:space="0" w:color="auto"/>
        <w:right w:val="none" w:sz="0" w:space="0" w:color="auto"/>
      </w:divBdr>
    </w:div>
    <w:div w:id="8307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6777</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CPI_AMETIC</dc:creator>
  <cp:lastModifiedBy>AMETIC</cp:lastModifiedBy>
  <cp:revision>2</cp:revision>
  <cp:lastPrinted>2017-03-27T06:42:00Z</cp:lastPrinted>
  <dcterms:created xsi:type="dcterms:W3CDTF">2017-03-27T06:45:00Z</dcterms:created>
  <dcterms:modified xsi:type="dcterms:W3CDTF">2017-03-27T06:45:00Z</dcterms:modified>
</cp:coreProperties>
</file>